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29.05.2025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  <w:t>На Кубани направить средства материнского капитала на образование детей стало проще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 мая 2025 года Отделение Социального фонда России по Краснодарскому краю принимает участие в пилотном проекте, который упрощает направление средств материнского капитала на получение высшего образования детьми.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Теперь кубанские семьи при заключении договора на платные образовательные услуги могут в высших учебных заведениях, с которыми заключены соглашения, подать заявление на распоряжение средствами материнского капитала без посещения клиентских служб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Средствами материнского капитала также можно оплатить обучение в средне-специальных образовательных учреждениях, автошколе, курсах, а также кружках и в группах продленного дня, дошкольное образование, проживание и коммунальные услуги в общежитии во время учебы детей.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На оплату детского сада и дошкольное образование материнский капитал можно направлять в любое время, на остальные цели — через 3 года с момента рождения ребенка, в связи с которым возникло право на материнский капитал.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cs="Arial" w:ascii="Montserrat" w:hAnsi="Montserrat"/>
          <w:color w:val="212121"/>
          <w:szCs w:val="28"/>
          <w:shd w:fill="FFFFFF" w:val="clear"/>
        </w:rPr>
        <w:t>На дату начала обучения ребенок должен быть не старше 25 лет. Организация либо индивидуальный предприниматель, оказывающий образовательные услуги, должны находиться на территории России и иметь лицензию на оказание образовательных услуг.</w:t>
      </w:r>
      <w:r>
        <w:rPr>
          <w:rFonts w:ascii="Montserrat" w:hAnsi="Montserrat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В Краснодарском крае с начала года 4 тысячи кубанских семей направили средства материнского капитала на образование детей. 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«Через несколько дней наступит первый день лета, а вместе с ним и главный детский праздник – День защиты детей! Пусть юное поколение радует нас своими талантами, успехами в учебе, творческими и спортивными достижениями, наполняет жизни своих родителей счастьем и добрыми надеждами, а материнский капитал помогает в реализации этих целей», – отметил управляющий Отделением СФР по Краснодарскому краю Дмитрий Фурса.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  <w:szCs w:val="28"/>
        </w:rPr>
      </w:pPr>
      <w:r>
        <w:rPr>
          <w:rFonts w:ascii="Montserrat" w:hAnsi="Montserrat"/>
          <w:szCs w:val="28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30DC-0528-48FD-AC99-CD94C372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LibreOffice/7.3.5.2$Windows_X86_64 LibreOffice_project/184fe81b8c8c30d8b5082578aee2fed2ea847c01</Application>
  <AppVersion>15.0000</AppVersion>
  <Pages>2</Pages>
  <Words>304</Words>
  <Characters>1996</Characters>
  <CharactersWithSpaces>2295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2025-04-24T06:17:00Z</dcterms:created>
  <dc:creator>Обиход Владимир Анатольевич</dc:creator>
  <dc:description/>
  <dc:language>ru-RU</dc:language>
  <cp:lastModifiedBy>Ревенко Ольга Александровна</cp:lastModifiedBy>
  <cp:lastPrinted>2025-04-07T11:16:00Z</cp:lastPrinted>
  <dcterms:modified xsi:type="dcterms:W3CDTF">2025-05-28T07:25:00Z</dcterms:modified>
  <cp:revision>28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