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244" w:rsidRPr="00070F44" w:rsidRDefault="00627244" w:rsidP="00C0446A">
      <w:pPr>
        <w:spacing w:before="735" w:after="45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</w:pPr>
      <w:r w:rsidRPr="00070F44"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  <w:t xml:space="preserve">С </w:t>
      </w:r>
      <w:r w:rsidR="00070F44" w:rsidRPr="00070F44"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  <w:t>01.09.2024</w:t>
      </w:r>
      <w:r w:rsidRPr="00070F44"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  <w:t xml:space="preserve"> года изменятся лицензионные требования к управляющим компаниям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С 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01.09.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2024 список лицензионных требований к управляющим компаниям дополнится.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Так, обязательным будет требование об отсутствии неснятой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              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или непогашенной судимости за преступления в сфере </w:t>
      </w:r>
      <w:proofErr w:type="gramStart"/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экономики, 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</w:t>
      </w:r>
      <w:proofErr w:type="gramEnd"/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                 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за преступления средней тяжести, тяжкие и особо тяжкие преступления, 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        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не только у должностного лица лицензиата, соискателя лицензии, но и у учредителя (участника) соискателя либо лицензиата.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Кроме того, соискатель либо лицензиат не должны быть привлеченными к административной ответствен</w:t>
      </w:r>
      <w:bookmarkStart w:id="0" w:name="_GoBack"/>
      <w:bookmarkEnd w:id="0"/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ности за грубое нарушение требований 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              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в течение 3 лет до получения или продления разрешения.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Также, в Едином федеральном реестре сведений о банкротстве 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                      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в 3-летний период до обращения за лицензией не должно быть сведений о банкротстве управляющей компании, которая осуществляла деятельность по управлению многоквартирными домами и должностными лицами и (или) учредителями которой являлись должностные лица и (или) учредители соискателя лицензии.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Закон требует также отсутствие в реестре лиц, лицензия которого аннулирована, сведений об учредителе (участнике) лицензиата, учредителе (участнике) соискателя лицензии.</w:t>
      </w:r>
    </w:p>
    <w:p w:rsidR="00627244" w:rsidRDefault="00627244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Соответствующие изменения внесены в статью 193 Жилищного кодекса РФ Федеральным законом от 25.12.2023 № 662-ФЗ.</w:t>
      </w:r>
    </w:p>
    <w:p w:rsidR="00C0446A" w:rsidRDefault="00C0446A" w:rsidP="00C0446A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Помощник прокурора района                                                          А.А. Симонян</w:t>
      </w: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Pr="00C0446A" w:rsidRDefault="00C0446A" w:rsidP="00C0446A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627244" w:rsidRPr="00070F44" w:rsidRDefault="00627244" w:rsidP="00C0446A">
      <w:pPr>
        <w:spacing w:before="735" w:after="45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</w:pPr>
      <w:r w:rsidRPr="00070F44"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  <w:lastRenderedPageBreak/>
        <w:t>Закреплен срок, в пределах которого может быть возобновлено приостановленное исполнительное производство.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С 17</w:t>
      </w:r>
      <w:r w:rsid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.04.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2024 исполнительное производство может быть </w:t>
      </w:r>
      <w:proofErr w:type="gramStart"/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возобновлено  в</w:t>
      </w:r>
      <w:proofErr w:type="gramEnd"/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течение 3 лет с момента устранения обстоятельств, послуживших основанием для приостановления.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Исполнительное производство возобновляется судом или судебным приставом-исполнителем - в зависимости от того, какой из этих органов его приостановил.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Инициировать такой вопрос вправе взыскатель, должник или судебный пристав-исполнитель.</w:t>
      </w:r>
    </w:p>
    <w:p w:rsidR="00627244" w:rsidRPr="00C0446A" w:rsidRDefault="00627244" w:rsidP="00C0446A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В случае пропуска 3-летнего срока по уважительной причине заинтересованное лицо может обратиться в суд с ходатайством о его восстановлении.</w:t>
      </w:r>
    </w:p>
    <w:p w:rsidR="00627244" w:rsidRDefault="00627244" w:rsidP="00C0446A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О возобновлении исполнительного производства либо об отказе в возобновлении исполнительного производства судебный пристав-исполнитель выносит постановление, которое направляется сторонам исполнительного производства и может быть обжаловано в порядке подчиненности и оспорено в суде.</w:t>
      </w:r>
    </w:p>
    <w:p w:rsidR="00C0446A" w:rsidRPr="00C0446A" w:rsidRDefault="00C0446A" w:rsidP="00C0446A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Помощник прокурора                                                                       А.А. Симонян</w:t>
      </w:r>
    </w:p>
    <w:p w:rsidR="00627244" w:rsidRPr="00C0446A" w:rsidRDefault="00627244" w:rsidP="00C0446A">
      <w:pPr>
        <w:spacing w:after="30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C0446A" w:rsidRDefault="00C0446A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C0446A" w:rsidRDefault="00C0446A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C0446A" w:rsidRDefault="00C0446A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C0446A" w:rsidRDefault="00C0446A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C0446A" w:rsidRDefault="00C0446A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627244" w:rsidRDefault="00627244" w:rsidP="00070F44">
      <w:pPr>
        <w:spacing w:before="735" w:after="4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Pr="00070F44" w:rsidRDefault="00070F44" w:rsidP="00070F44">
      <w:pPr>
        <w:spacing w:before="735" w:after="4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  <w:lastRenderedPageBreak/>
        <w:t xml:space="preserve">          </w:t>
      </w:r>
      <w:r w:rsidRPr="00070F44">
        <w:rPr>
          <w:rFonts w:ascii="Times New Roman" w:eastAsia="Times New Roman" w:hAnsi="Times New Roman" w:cs="Times New Roman"/>
          <w:b/>
          <w:bCs/>
          <w:color w:val="003277"/>
          <w:kern w:val="36"/>
          <w:sz w:val="28"/>
          <w:szCs w:val="28"/>
          <w:lang w:eastAsia="ru-RU"/>
        </w:rPr>
        <w:t>Изменения в федеральном законодательстве по вопросу государственного контроля в сфере оборота этилового спирта, алкогольной и спиртосодержащей продукции</w:t>
      </w:r>
    </w:p>
    <w:p w:rsidR="00627244" w:rsidRPr="00C0446A" w:rsidRDefault="00627244" w:rsidP="00070F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Постановлением Правительства Российской Федерации от 29.02.2024 </w:t>
      </w:r>
      <w:r w:rsidR="00070F44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             </w:t>
      </w:r>
      <w:r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№ 240 внесены изменения в постановление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контроля».</w:t>
      </w:r>
    </w:p>
    <w:p w:rsidR="00627244" w:rsidRPr="00C0446A" w:rsidRDefault="00070F44" w:rsidP="00070F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</w:t>
      </w:r>
      <w:r w:rsidR="00627244"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В новой редакции предусмотрено, что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627244" w:rsidRPr="00C0446A" w:rsidRDefault="00070F44" w:rsidP="00070F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</w:t>
      </w:r>
      <w:r w:rsidR="00627244"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При этом допускается проведение в течение календарного месяца не более 10 контрольных (надзорных) мероприятий в виде выборочного контроля без согласования с органами прокуратуры.</w:t>
      </w:r>
    </w:p>
    <w:p w:rsidR="00627244" w:rsidRPr="00C0446A" w:rsidRDefault="00070F44" w:rsidP="00070F44">
      <w:pPr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</w:t>
      </w:r>
      <w:r w:rsidR="00627244"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Также 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627244" w:rsidRPr="00C0446A" w:rsidRDefault="00070F44" w:rsidP="00070F44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 xml:space="preserve"> </w:t>
      </w:r>
      <w:r w:rsidR="00627244" w:rsidRPr="00C0446A"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070F44" w:rsidRDefault="00070F44" w:rsidP="00070F4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  <w:t>Помощник прокурора района                                                          А.А. Симонян</w:t>
      </w:r>
    </w:p>
    <w:p w:rsidR="00627244" w:rsidRPr="00070F44" w:rsidRDefault="00627244" w:rsidP="00070F44">
      <w:pPr>
        <w:shd w:val="clear" w:color="auto" w:fill="FFFFFF"/>
        <w:spacing w:before="30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14A03"/>
          <w:kern w:val="36"/>
          <w:sz w:val="28"/>
          <w:szCs w:val="28"/>
          <w:lang w:eastAsia="ru-RU"/>
        </w:rPr>
      </w:pPr>
      <w:r w:rsidRPr="00070F44">
        <w:rPr>
          <w:rFonts w:ascii="Times New Roman" w:eastAsia="Times New Roman" w:hAnsi="Times New Roman" w:cs="Times New Roman"/>
          <w:b/>
          <w:color w:val="014A03"/>
          <w:kern w:val="36"/>
          <w:sz w:val="28"/>
          <w:szCs w:val="28"/>
          <w:lang w:eastAsia="ru-RU"/>
        </w:rPr>
        <w:lastRenderedPageBreak/>
        <w:t>Внесены изменения в законодательство, регламентирующее вопросы размещения сетей связи в многоквартирных домах</w:t>
      </w:r>
    </w:p>
    <w:p w:rsidR="00070F44" w:rsidRDefault="00070F44" w:rsidP="00C044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27244" w:rsidRPr="00C0446A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06.04.2024 № 67-ФЗ в статью 6 Федерального закона от 07.07.2003 № 126-ФЗ «О связи» и Жилищный кодекс Российской Федерации внесены изменения, которыми регламентирован порядок размещения сетей связи на объектах общего имущества в многоквартирном доме. </w:t>
      </w:r>
    </w:p>
    <w:p w:rsidR="00627244" w:rsidRPr="00C0446A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данным изменениям эксплуатация и демонтаж сетей связи на объектах общего имущества в многоквартирном доме, необходимых для оказания услуг связи абоненту-гражданину,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связи, осуществляются без решения общего собрания собственников помещений в этом доме.</w:t>
      </w:r>
    </w:p>
    <w:p w:rsidR="00627244" w:rsidRPr="00C0446A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монтаж, эксплуатация и демонтаж сетей связи на объектах общего имущества в многоквартирном доме повлекли нарушение требований пожарной безопасности, требований законодательства о градостроительной деятельности, санитарных норм и правил, оператор связи несет ответственность, предусмотренную законодательством. Вред, причиненный оператором связи общему имуществу в многоквартирном доме в результате монтажа, эксплуатации и демонтажа сетей связи на объектах общего имущества в многоквартирном доме, подлежит возмещению в полном объеме оператором связи, причинившим такой вред.</w:t>
      </w:r>
    </w:p>
    <w:p w:rsidR="00627244" w:rsidRPr="00C0446A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Указанным Федеральным законом также предусмотрено, что размер платы за электрическую энергию, потребляемую при эксплуатации сетей связи, определяется в порядке, установленном законодательством Российской Федерации об электроэнергетике. При наличии договора, заключенного между оператором связи и энергоснабжающей организацией, плата за электрическую энергию, потребляемую при эксплуатации сетей связи, установленных на объектах общего имущества в многоквартирном доме, производится в размере и порядке, которые определены таким договором.</w:t>
      </w:r>
    </w:p>
    <w:p w:rsidR="00627244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Плата за пользование объектами общего имущества в многоквартирном доме для оказания услуг связи в многоквартирном доме, за доступ к объектам общего имущества для монтажа, эксплуатации и демонтажа сетей связи, за доступ к указанным сетям связи либо за оказание иных услуг, связанных с монтажом, эксплуатацией и </w:t>
      </w:r>
      <w:proofErr w:type="spellStart"/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демонтажом</w:t>
      </w:r>
      <w:proofErr w:type="spellEnd"/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сетей на объектах общего имущества в многоквартирном доме, не взимается.</w:t>
      </w:r>
    </w:p>
    <w:p w:rsidR="00070F44" w:rsidRDefault="00070F44" w:rsidP="00070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F44" w:rsidRPr="00C0446A" w:rsidRDefault="00070F44" w:rsidP="00070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района                                                            А.А. Симонян</w:t>
      </w:r>
    </w:p>
    <w:p w:rsidR="00627244" w:rsidRPr="00C0446A" w:rsidRDefault="00627244" w:rsidP="00C0446A">
      <w:pPr>
        <w:spacing w:after="30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627244" w:rsidRPr="00C0446A" w:rsidRDefault="00627244" w:rsidP="00C0446A">
      <w:pPr>
        <w:spacing w:after="30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627244" w:rsidRPr="00070F44" w:rsidRDefault="00627244" w:rsidP="00070F44">
      <w:pPr>
        <w:shd w:val="clear" w:color="auto" w:fill="FFFFFF"/>
        <w:spacing w:before="300" w:after="15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14A03"/>
          <w:kern w:val="36"/>
          <w:sz w:val="28"/>
          <w:szCs w:val="28"/>
          <w:lang w:eastAsia="ru-RU"/>
        </w:rPr>
      </w:pPr>
      <w:r w:rsidRPr="00070F44">
        <w:rPr>
          <w:rFonts w:ascii="Times New Roman" w:eastAsia="Times New Roman" w:hAnsi="Times New Roman" w:cs="Times New Roman"/>
          <w:b/>
          <w:color w:val="014A03"/>
          <w:kern w:val="36"/>
          <w:sz w:val="28"/>
          <w:szCs w:val="28"/>
          <w:lang w:eastAsia="ru-RU"/>
        </w:rPr>
        <w:lastRenderedPageBreak/>
        <w:t>Изъятие земельного участка из земель сельскохозяйственного назначения, который не используется по целевому назначению или используется с нарушением законодательства Российской Федерации</w:t>
      </w:r>
    </w:p>
    <w:p w:rsidR="00070F44" w:rsidRDefault="00070F44" w:rsidP="00C044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27244" w:rsidRPr="00C0446A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6 Федерального закона от 24.07.2002 № 101-ФЗ «Об обороте земель сельскохозяйственного назначения» предусмотрена возможность изъятия земельного участка из земель сельскохозяйственного назначения у собственника по решению суда в случае выявления фактов неиспользования такого участка по целевому назначению в течение трех и более лет, а также использования с нарушением законодательства Российской Федерации.</w:t>
      </w:r>
    </w:p>
    <w:p w:rsidR="00627244" w:rsidRPr="00C0446A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Признаки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установлены постановлением Правительства Российской Федерации от 18.09.2020 № 1482.</w:t>
      </w:r>
    </w:p>
    <w:p w:rsidR="00627244" w:rsidRDefault="00627244" w:rsidP="00070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перечень сорных растений для установления указанных признаков, являющийся приложением к данному постановлению, включены помимо прочих амброзия многолетняя, полыннолистная и трехраздельная.</w:t>
      </w:r>
    </w:p>
    <w:p w:rsidR="00070F44" w:rsidRDefault="00070F44" w:rsidP="00070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F44" w:rsidRPr="00C0446A" w:rsidRDefault="00070F44" w:rsidP="00070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района                                                         А.А. Симонян</w:t>
      </w:r>
    </w:p>
    <w:p w:rsidR="00627244" w:rsidRPr="00C0446A" w:rsidRDefault="00627244" w:rsidP="00070F44">
      <w:pPr>
        <w:spacing w:after="30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070F44" w:rsidRDefault="00070F44" w:rsidP="00C0446A">
      <w:pPr>
        <w:spacing w:before="735" w:after="450" w:line="240" w:lineRule="auto"/>
        <w:ind w:left="300" w:firstLine="709"/>
        <w:textAlignment w:val="baseline"/>
        <w:outlineLvl w:val="0"/>
        <w:rPr>
          <w:rFonts w:ascii="Times New Roman" w:eastAsia="Times New Roman" w:hAnsi="Times New Roman" w:cs="Times New Roman"/>
          <w:bCs/>
          <w:color w:val="003277"/>
          <w:kern w:val="36"/>
          <w:sz w:val="28"/>
          <w:szCs w:val="28"/>
          <w:lang w:eastAsia="ru-RU"/>
        </w:rPr>
      </w:pPr>
    </w:p>
    <w:p w:rsidR="004254DC" w:rsidRPr="00070F44" w:rsidRDefault="00070F44" w:rsidP="00070F44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70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                </w:t>
      </w:r>
      <w:proofErr w:type="gramStart"/>
      <w:r w:rsidR="004254DC" w:rsidRPr="00070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</w:t>
      </w:r>
      <w:r w:rsidRPr="00070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ия</w:t>
      </w:r>
      <w:proofErr w:type="gramEnd"/>
      <w:r w:rsidRPr="00070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налоговом законодательстве</w:t>
      </w: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254DC" w:rsidRPr="00C0446A" w:rsidRDefault="004254DC" w:rsidP="00C044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2024 году законодатели изменили систему налогообложения, в</w:t>
      </w:r>
      <w:r w:rsidRPr="00C0446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частности, выросли суммы налоговых вычетов.</w:t>
      </w:r>
    </w:p>
    <w:p w:rsidR="004254DC" w:rsidRPr="00C0446A" w:rsidRDefault="004254DC" w:rsidP="00C044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Налоговые вычеты – это сумма, на которую уменьшается налогооблагаемый доход физического лица. В результате этого уменьшается сумма налога, которую нужно уплатить.</w:t>
      </w:r>
    </w:p>
    <w:p w:rsidR="004254DC" w:rsidRPr="00C0446A" w:rsidRDefault="004254DC" w:rsidP="00C044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примеру, вы потратили на обучение ребёнка 100 000 руб</w:t>
      </w:r>
      <w:r w:rsidR="00070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один год. По законодательству, у вас не должны взимать с этой суммы 13 процентов НДФЛ, следовательно, 13 000 руб</w:t>
      </w:r>
      <w:r w:rsidR="00070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экономии.</w:t>
      </w:r>
    </w:p>
    <w:p w:rsidR="004254DC" w:rsidRPr="00C0446A" w:rsidRDefault="004254DC" w:rsidP="00C044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2024 года происходит увеличение лимита суммы. На обучение ранее он составлял 50 000 рублей, а в настоящее время – до 110 000 руб. Повысились лимиты затрат на лечение и лекарства – 150 000 руб</w:t>
      </w:r>
      <w:r w:rsidR="00070F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вместо 120 000 руб.</w:t>
      </w:r>
    </w:p>
    <w:p w:rsidR="004254DC" w:rsidRPr="00C0446A" w:rsidRDefault="004254DC" w:rsidP="00C0446A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теперь под налоги не попадает материальная помощь, которую получают студенты.</w:t>
      </w:r>
    </w:p>
    <w:p w:rsidR="004254DC" w:rsidRDefault="004254DC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4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 подавать документы для получения подобных вычетов больше не нужно. Поставщики услуг будут обязаны подать в налоговую все необходимые документы.</w:t>
      </w:r>
    </w:p>
    <w:p w:rsidR="00070F44" w:rsidRPr="00C0446A" w:rsidRDefault="00070F44" w:rsidP="00070F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Помощник прокурора района                                                          А.А. Симонян</w:t>
      </w:r>
    </w:p>
    <w:p w:rsidR="004254DC" w:rsidRDefault="004254DC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DB" w:rsidRDefault="001C2ADB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F44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0F44" w:rsidRPr="00C0446A" w:rsidRDefault="00070F44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2ADB" w:rsidRPr="001C2ADB" w:rsidRDefault="001C2ADB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 </w:t>
      </w:r>
      <w:r w:rsidR="00070F44" w:rsidRPr="00070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01.04.2024</w:t>
      </w:r>
      <w:r w:rsidRPr="001C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заявительном порядке возмещения НДС можно заменить гарантию или договор поручительства</w:t>
      </w: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F44" w:rsidRDefault="001C2ADB" w:rsidP="00070F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Налогоплательщику дают право подать заявление о замене банковской гарантии или договора поручительства на новые. Сделать это можно в течение 5 дней со дня представления декларации, в том числе уточненной.</w:t>
      </w:r>
    </w:p>
    <w:p w:rsidR="001C2ADB" w:rsidRDefault="001C2ADB" w:rsidP="00070F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если в уточненной декларации указали налог к возмещению больше, чем в первоначальной, к превышению налогоплательщик также может применить заявительный порядок. Для этого нужно подать заявление. </w:t>
      </w:r>
    </w:p>
    <w:p w:rsidR="00070F44" w:rsidRPr="00070F44" w:rsidRDefault="00070F44" w:rsidP="00070F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F44" w:rsidRPr="00C0446A" w:rsidRDefault="00070F44" w:rsidP="00070F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района                                                              А.А. Симонян</w:t>
      </w:r>
    </w:p>
    <w:p w:rsidR="001C2ADB" w:rsidRPr="001C2ADB" w:rsidRDefault="001C2ADB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2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44" w:rsidRDefault="00070F44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2ADB" w:rsidRPr="001C2ADB" w:rsidRDefault="001C2ADB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 </w:t>
      </w:r>
      <w:r w:rsidR="00070F44" w:rsidRPr="00070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01.04.2024 </w:t>
      </w:r>
      <w:r w:rsidRPr="001C2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 перечень дополнительных случаев неконкурентных закупок</w:t>
      </w:r>
      <w:r w:rsidRPr="001C2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ADB" w:rsidRPr="001C2ADB" w:rsidRDefault="001C2ADB" w:rsidP="00C0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C2ADB" w:rsidRDefault="001C2ADB" w:rsidP="00070F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46A">
        <w:rPr>
          <w:sz w:val="28"/>
          <w:szCs w:val="28"/>
        </w:rPr>
        <w:t xml:space="preserve">Постановлением Правительства Российской Федерации </w:t>
      </w:r>
      <w:r w:rsidRPr="00C0446A">
        <w:rPr>
          <w:sz w:val="28"/>
          <w:szCs w:val="28"/>
        </w:rPr>
        <w:t xml:space="preserve">от 30.03.2024 </w:t>
      </w:r>
      <w:r w:rsidRPr="00C0446A">
        <w:rPr>
          <w:sz w:val="28"/>
          <w:szCs w:val="28"/>
        </w:rPr>
        <w:t>№</w:t>
      </w:r>
      <w:r w:rsidRPr="00C0446A">
        <w:rPr>
          <w:sz w:val="28"/>
          <w:szCs w:val="28"/>
        </w:rPr>
        <w:t xml:space="preserve"> 399</w:t>
      </w:r>
      <w:r w:rsidR="00070F44">
        <w:rPr>
          <w:sz w:val="28"/>
          <w:szCs w:val="28"/>
        </w:rPr>
        <w:t xml:space="preserve"> </w:t>
      </w:r>
      <w:r w:rsidRPr="00C0446A">
        <w:rPr>
          <w:sz w:val="28"/>
          <w:szCs w:val="28"/>
        </w:rPr>
        <w:t>«</w:t>
      </w:r>
      <w:r w:rsidRPr="00C0446A">
        <w:rPr>
          <w:sz w:val="28"/>
          <w:szCs w:val="28"/>
        </w:rPr>
        <w:t>О внесении изменений в постановление Правительства Российской Федерации от 10</w:t>
      </w:r>
      <w:r w:rsidRPr="00C0446A">
        <w:rPr>
          <w:sz w:val="28"/>
          <w:szCs w:val="28"/>
        </w:rPr>
        <w:t>.03.2022</w:t>
      </w:r>
      <w:r w:rsidRPr="00C0446A">
        <w:rPr>
          <w:sz w:val="28"/>
          <w:szCs w:val="28"/>
        </w:rPr>
        <w:t xml:space="preserve"> </w:t>
      </w:r>
      <w:r w:rsidRPr="00C0446A">
        <w:rPr>
          <w:sz w:val="28"/>
          <w:szCs w:val="28"/>
        </w:rPr>
        <w:t xml:space="preserve">№ </w:t>
      </w:r>
      <w:r w:rsidRPr="00C0446A">
        <w:rPr>
          <w:sz w:val="28"/>
          <w:szCs w:val="28"/>
        </w:rPr>
        <w:t>339</w:t>
      </w:r>
      <w:r w:rsidRPr="00C0446A">
        <w:rPr>
          <w:sz w:val="28"/>
          <w:szCs w:val="28"/>
        </w:rPr>
        <w:t>» расширен перечень закупок, которые могут осуществляться без применения конкурентных процедур определения поставщика (подрядчика, исполнителя). Так, з</w:t>
      </w:r>
      <w:r w:rsidRPr="001C2ADB">
        <w:rPr>
          <w:sz w:val="28"/>
          <w:szCs w:val="28"/>
        </w:rPr>
        <w:t xml:space="preserve">аказчики могут провести закупки у единственного поставщика, в частности: для нужд беженцев и вынужденных переселенцев, для выполнения мероприятий по гражданской обороне. </w:t>
      </w:r>
    </w:p>
    <w:p w:rsidR="00070F44" w:rsidRDefault="00070F44" w:rsidP="00070F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F44" w:rsidRPr="00C0446A" w:rsidRDefault="00070F44" w:rsidP="00070F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 района                                                             А.А. Симонян</w:t>
      </w:r>
    </w:p>
    <w:p w:rsidR="001C2ADB" w:rsidRPr="00C0446A" w:rsidRDefault="001C2ADB" w:rsidP="00C044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2ADB" w:rsidRPr="00C0446A" w:rsidRDefault="001C2ADB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4DC" w:rsidRPr="00C0446A" w:rsidRDefault="004254DC" w:rsidP="00C044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54DC" w:rsidRPr="00C0446A" w:rsidRDefault="004254DC" w:rsidP="00C0446A">
      <w:pPr>
        <w:spacing w:after="30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B0B0B"/>
          <w:sz w:val="28"/>
          <w:szCs w:val="28"/>
          <w:lang w:eastAsia="ru-RU"/>
        </w:rPr>
      </w:pPr>
    </w:p>
    <w:p w:rsidR="00D6569E" w:rsidRPr="00C0446A" w:rsidRDefault="00D6569E" w:rsidP="00C0446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6569E" w:rsidRPr="00C0446A" w:rsidSect="00C0446A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44"/>
    <w:rsid w:val="00070F44"/>
    <w:rsid w:val="001C2ADB"/>
    <w:rsid w:val="004254DC"/>
    <w:rsid w:val="00474F03"/>
    <w:rsid w:val="005C6664"/>
    <w:rsid w:val="00627244"/>
    <w:rsid w:val="00762DEB"/>
    <w:rsid w:val="007A66FD"/>
    <w:rsid w:val="00C0446A"/>
    <w:rsid w:val="00D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1E36"/>
  <w15:chartTrackingRefBased/>
  <w15:docId w15:val="{EDB96E6C-B67B-4EDF-A9FB-D6D19049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803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773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04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5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32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887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17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F47A-B1E1-44FA-934C-9C5815F2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Симонян Ашот Артурович</cp:lastModifiedBy>
  <cp:revision>2</cp:revision>
  <cp:lastPrinted>2024-06-10T14:31:00Z</cp:lastPrinted>
  <dcterms:created xsi:type="dcterms:W3CDTF">2024-06-10T14:42:00Z</dcterms:created>
  <dcterms:modified xsi:type="dcterms:W3CDTF">2024-06-10T14:42:00Z</dcterms:modified>
</cp:coreProperties>
</file>