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25.04.2024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Доставка пенсий в Краснодарском крае в мае 2024 года: </w:t>
        <w:br/>
        <w:t>график выплат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СФР по Краснодарскому краю информирует, что в связи с предстоящими праздничными и выходными днями в мае 2024 года жителям Краснодарского края, которые получают пенсии и социальные выплаты через отделения почтовой связи, доставка за май будет производиться по следующему графику: 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Style w:val="Style10"/>
          <w:rFonts w:ascii="Montserrat" w:hAnsi="Montserrat"/>
          <w:b/>
          <w:b/>
          <w:bCs/>
          <w:sz w:val="28"/>
          <w:szCs w:val="28"/>
        </w:rPr>
      </w:pPr>
      <w:r>
        <w:rPr>
          <w:rStyle w:val="Style10"/>
          <w:rFonts w:ascii="Montserrat" w:hAnsi="Montserrat"/>
          <w:b/>
          <w:bCs/>
          <w:sz w:val="28"/>
          <w:szCs w:val="28"/>
        </w:rPr>
        <w:t>Городские отделения почтовой связи Краснодара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 xml:space="preserve">3 мая – за </w:t>
      </w:r>
      <w:r>
        <w:rPr>
          <w:rFonts w:ascii="Montserrat" w:hAnsi="Montserrat"/>
          <w:sz w:val="28"/>
          <w:szCs w:val="28"/>
        </w:rPr>
        <w:t xml:space="preserve">3 и 4 мая 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4 мая – за 5 мая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 xml:space="preserve">5 мая – </w:t>
      </w:r>
      <w:r>
        <w:rPr>
          <w:rFonts w:ascii="Montserrat" w:hAnsi="Montserrat"/>
          <w:sz w:val="28"/>
          <w:szCs w:val="28"/>
        </w:rPr>
        <w:t>касса отделения почтовой связи при почтамте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6 мая – за 6 мая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7 мая – за 7 мая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8 мая – за 8 и 9 мая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10 мая – за 10 и 11 мая</w:t>
      </w:r>
    </w:p>
    <w:p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11 мая – за 12 мая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Style w:val="Style10"/>
          <w:rFonts w:ascii="Montserrat" w:hAnsi="Montserrat"/>
          <w:b/>
          <w:bCs/>
          <w:sz w:val="28"/>
          <w:szCs w:val="28"/>
        </w:rPr>
        <w:t>Отделения почтовой связи Краснодарского края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 xml:space="preserve">3 мая  – за </w:t>
      </w:r>
      <w:r>
        <w:rPr>
          <w:rFonts w:ascii="Montserrat" w:hAnsi="Montserrat"/>
          <w:sz w:val="28"/>
          <w:szCs w:val="28"/>
        </w:rPr>
        <w:t>3 и 4 мая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4 мая – за 5 и 6 мая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 xml:space="preserve">5 мая – </w:t>
      </w:r>
      <w:r>
        <w:rPr>
          <w:rFonts w:ascii="Montserrat" w:hAnsi="Montserrat"/>
          <w:sz w:val="28"/>
          <w:szCs w:val="28"/>
        </w:rPr>
        <w:t>касса отделения почтовой связи при почтамте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 xml:space="preserve">6 мая – </w:t>
      </w:r>
      <w:r>
        <w:rPr>
          <w:rFonts w:ascii="Montserrat" w:hAnsi="Montserrat"/>
          <w:sz w:val="28"/>
          <w:szCs w:val="28"/>
        </w:rPr>
        <w:t>касса отделения почтовой связи при почтамте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7 мая – за 7 и 8 мая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8 мая – за 9 и 10 мая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10 мая – за 11 и 12 мая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</w:rPr>
        <w:t>11 мая – за 13 мая</w:t>
      </w:r>
    </w:p>
    <w:p>
      <w:pPr>
        <w:pStyle w:val="Normal"/>
        <w:shd w:val="clear" w:color="auto" w:fill="FFFFFF"/>
        <w:ind w:firstLine="708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hd w:val="clear" w:color="auto" w:fill="FFFFFF"/>
        <w:ind w:firstLine="708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Далее выплата и доставка пенсий и других выплат будет производиться в соответствии с графиком доставки.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настоящее время в Краснодарском крае проживает свыше 1,6  миллиона получателей пенсий, 35% из которых получают ее в отделениях почтовой связи.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i/>
          <w:i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center"/>
        <w:rPr>
          <w:rFonts w:ascii="Montserrat" w:hAnsi="Montserrat"/>
          <w:i/>
          <w:i/>
          <w:color w:val="212121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ontserrat" w:hAnsi="Montserrat"/>
          <w:b/>
          <w:b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B81B-9757-4812-BCEA-7665FF12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280</Words>
  <Characters>1367</Characters>
  <CharactersWithSpaces>1627</CharactersWithSpaces>
  <Paragraphs>39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2024-04-24T05:10:00Z</dcterms:created>
  <dc:creator>Обиход Владимир Анатольевич</dc:creator>
  <dc:description/>
  <dc:language>ru-RU</dc:language>
  <cp:lastModifiedBy>Абрамкин Вадим Сергеевич</cp:lastModifiedBy>
  <cp:lastPrinted>2024-04-15T10:57:00Z</cp:lastPrinted>
  <dcterms:modified xsi:type="dcterms:W3CDTF">2024-04-24T05:10:00Z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