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3C3125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3C3125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03.95pt;z-index:251659776;mso-width-relative:margin;mso-height-relative:margin" strokecolor="white">
            <v:fill opacity="0"/>
            <v:textbox style="mso-next-textbox:#_x0000_s1035">
              <w:txbxContent>
                <w:p w:rsidR="001C3DB6" w:rsidRPr="006D2D70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FC541C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</w:t>
                  </w:r>
                  <w:r w:rsidR="00E10525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ТВЕРЖДЕНА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6C05C2" w:rsidRDefault="00C61F3D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</w:t>
                  </w:r>
                  <w:r w:rsidR="006C05C2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)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Pr="006D2D70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</w:t>
            </w:r>
            <w:r w:rsidR="0017717C">
              <w:rPr>
                <w:rFonts w:ascii="Times New Roman" w:hAnsi="Times New Roman"/>
                <w:sz w:val="28"/>
                <w:szCs w:val="28"/>
              </w:rPr>
              <w:t>»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3C3125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397990" w:rsidRPr="00E10525" w:rsidTr="007207E9">
        <w:trPr>
          <w:trHeight w:val="109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Pr="00E10525" w:rsidRDefault="009A426C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6C5135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D40D33">
            <w:pPr>
              <w:tabs>
                <w:tab w:val="left" w:pos="2508"/>
              </w:tabs>
            </w:pPr>
            <w:r>
              <w:tab/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17717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17717C"/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б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лагоустройство и озеленение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поселения;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78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коммунальные услуги по уличному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щению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ство тротуара по улице Мира в Медведовском сельском поселении»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сохранение (содержание) памятников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тории и культуры, находящихся в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пальной собственности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1DA" w:rsidRDefault="00B078DA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объекту «Ремонт тр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туара по ул. Ленина от ул. Ленинградской до ул. Степной»;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выполнение работ по объекту «Ремонт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туара по ул. Ленина от ул. Степной до </w:t>
            </w:r>
            <w:r w:rsidR="00A0167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Мира»;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выполнение работ по объекту «Устройство тротуара по ул. Виноградной»;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выполнение работ по ремонту тротуара по ул. Набережной;</w:t>
            </w:r>
          </w:p>
          <w:p w:rsidR="00D81ECD" w:rsidRDefault="00AC0C7C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ремонт комплексной спортивно-игровой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по </w:t>
            </w:r>
            <w:r w:rsidR="006A40CB">
              <w:rPr>
                <w:rFonts w:ascii="Times New Roman" w:hAnsi="Times New Roman" w:cs="Times New Roman"/>
                <w:sz w:val="28"/>
                <w:szCs w:val="28"/>
              </w:rPr>
              <w:t xml:space="preserve">адресу: ст. 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 xml:space="preserve">Медведовская, </w:t>
            </w:r>
            <w:r w:rsidR="006A40CB">
              <w:rPr>
                <w:rFonts w:ascii="Times New Roman" w:hAnsi="Times New Roman" w:cs="Times New Roman"/>
                <w:sz w:val="28"/>
                <w:szCs w:val="28"/>
              </w:rPr>
              <w:t xml:space="preserve">      ул.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 xml:space="preserve"> Пушкина, 3 А;</w:t>
            </w:r>
          </w:p>
          <w:p w:rsidR="00244F5C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7207E9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контроль работ по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тротуаров по ул. Ленина и</w:t>
            </w:r>
            <w:r w:rsidR="00745E83">
              <w:rPr>
                <w:rFonts w:ascii="Times New Roman" w:hAnsi="Times New Roman" w:cs="Times New Roman"/>
                <w:sz w:val="28"/>
                <w:szCs w:val="28"/>
              </w:rPr>
              <w:t xml:space="preserve"> ул. Набережной,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</w:t>
            </w:r>
            <w:r w:rsidR="007207E9">
              <w:rPr>
                <w:rFonts w:ascii="Times New Roman" w:hAnsi="Times New Roman" w:cs="Times New Roman"/>
                <w:sz w:val="28"/>
                <w:szCs w:val="28"/>
              </w:rPr>
              <w:t>тву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>тротуара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>Виноградной,</w:t>
            </w:r>
            <w:r w:rsidR="0072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ECD" w:rsidRDefault="00720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Западной,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ремонту комплексной спортивно-игровой площадки;</w:t>
            </w:r>
          </w:p>
          <w:p w:rsidR="008F2168" w:rsidRDefault="008F2168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 Устройство тротуара по ул. Западной от ул. Чайковского до ул. Чапаева;</w:t>
            </w:r>
          </w:p>
          <w:p w:rsidR="00244F5C" w:rsidRDefault="008F2168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Устройство детских игровых площадок на пересечении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Ковтюха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>- ул.  Северная,</w:t>
            </w:r>
          </w:p>
          <w:p w:rsidR="008F2168" w:rsidRDefault="00AC0C7C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2168">
              <w:rPr>
                <w:rFonts w:ascii="Times New Roman" w:hAnsi="Times New Roman" w:cs="Times New Roman"/>
                <w:sz w:val="28"/>
                <w:szCs w:val="28"/>
              </w:rPr>
              <w:t>Фадеева</w:t>
            </w:r>
            <w:r w:rsidR="00F0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B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2168">
              <w:rPr>
                <w:rFonts w:ascii="Times New Roman" w:hAnsi="Times New Roman" w:cs="Times New Roman"/>
                <w:sz w:val="28"/>
                <w:szCs w:val="28"/>
              </w:rPr>
              <w:t>ул. Школьная, установка д</w:t>
            </w:r>
            <w:r w:rsidR="008F21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F2168">
              <w:rPr>
                <w:rFonts w:ascii="Times New Roman" w:hAnsi="Times New Roman" w:cs="Times New Roman"/>
                <w:sz w:val="28"/>
                <w:szCs w:val="28"/>
              </w:rPr>
              <w:t>полнительных элементов детской площадки по ул. Мостовая;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Устройство тротуара по ул. Западной от ул. Мира до ул. Чайковского;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 Устройство тротуара по ул. Лиманной от ул. Западной до ул. Виноградной и по ул.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паева от ул. Западной до ул. Виноградной;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 Ремонт тротуара по ул. Комсомольской от ул. Пушкина до ул. Красной;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 Ремонт тротуара по ул. Пушкина от входа в стадион «Юность» до границ территории парка по адресу ул. Пушкина, 3 Г;</w:t>
            </w:r>
          </w:p>
          <w:p w:rsidR="00244F5C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17) Ремонт тротуара по ул. Пушкина от ул. Азовской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входа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по ул. Пушкина, д. 7 и по ул. Пушкина от ул. Коммунальной до д. 30 по ул. Пушк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на;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18) Ремонт тротуара по ул. Степной от дома № 112 до ул. Егорлыкской (1 этап);</w:t>
            </w:r>
          </w:p>
          <w:p w:rsidR="00244F5C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19)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тротуара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Степной</w:t>
            </w:r>
            <w:r w:rsidR="00244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</w:p>
          <w:p w:rsidR="002757E9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Егорлыкской до ул. Сорокина (2 этап);</w:t>
            </w:r>
          </w:p>
          <w:p w:rsidR="00D81ECD" w:rsidRDefault="002757E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) создание безбарьерной среды жизнеде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ния Ме</w:t>
            </w:r>
            <w:r w:rsidR="00DD7C88">
              <w:rPr>
                <w:rFonts w:ascii="Times New Roman" w:hAnsi="Times New Roman" w:cs="Times New Roman"/>
                <w:sz w:val="28"/>
                <w:szCs w:val="28"/>
              </w:rPr>
              <w:t>дведовского сельского поселения</w:t>
            </w:r>
          </w:p>
          <w:p w:rsidR="00702D8E" w:rsidRPr="00BC6519" w:rsidRDefault="00702D8E" w:rsidP="00B078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  <w:p w:rsidR="002757E9" w:rsidRDefault="002757E9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2757E9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Default="0054479A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AAD">
              <w:rPr>
                <w:rFonts w:ascii="Times New Roman" w:hAnsi="Times New Roman" w:cs="Times New Roman"/>
                <w:sz w:val="28"/>
                <w:szCs w:val="28"/>
              </w:rPr>
              <w:t>39641,6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2A0AAD">
              <w:rPr>
                <w:rFonts w:ascii="Times New Roman" w:hAnsi="Times New Roman" w:cs="Times New Roman"/>
                <w:sz w:val="28"/>
                <w:szCs w:val="28"/>
              </w:rPr>
              <w:t>19009,9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</w:t>
            </w:r>
            <w:r w:rsidR="000D2C1A">
              <w:rPr>
                <w:rFonts w:ascii="Times New Roman" w:hAnsi="Times New Roman" w:cs="Times New Roman"/>
                <w:sz w:val="28"/>
                <w:szCs w:val="28"/>
              </w:rPr>
              <w:t>20284,6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>из средств ф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дерального бюджета 347,1 тыс. рублей; 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963A51" w:rsidRDefault="00963A51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Default="002757E9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Default="002757E9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2757E9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годам реализации программы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FD0E89">
        <w:trPr>
          <w:trHeight w:val="831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0F290B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FD0E89" w:rsidRPr="00043BA3" w:rsidTr="00FD0E89">
        <w:trPr>
          <w:trHeight w:val="2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Pr="00A721CE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E89" w:rsidRPr="004651D8" w:rsidRDefault="00FD0E89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2C1D8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2C1D8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B12412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14433,3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1925E9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B12412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6490,5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2A0AA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20139,0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0F290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10908,0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2A0AA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8883,9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0F290B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2A0AA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39641,6</w:t>
            </w:r>
          </w:p>
        </w:tc>
        <w:tc>
          <w:tcPr>
            <w:tcW w:w="927" w:type="pct"/>
          </w:tcPr>
          <w:p w:rsidR="005573C8" w:rsidRPr="00A721CE" w:rsidRDefault="000D2C1A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20284,6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2A0AAD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19009,9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0F290B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социально-экономического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</w:t>
      </w:r>
      <w:r w:rsidR="00AC0C7C">
        <w:rPr>
          <w:rFonts w:ascii="Times New Roman" w:hAnsi="Times New Roman" w:cs="Times New Roman"/>
          <w:sz w:val="28"/>
          <w:szCs w:val="28"/>
        </w:rPr>
        <w:t xml:space="preserve">облемой социально-экономической </w:t>
      </w:r>
      <w:r w:rsidRPr="00043BA3">
        <w:rPr>
          <w:rFonts w:ascii="Times New Roman" w:hAnsi="Times New Roman" w:cs="Times New Roman"/>
          <w:sz w:val="28"/>
          <w:szCs w:val="28"/>
        </w:rPr>
        <w:t>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3C3125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, поставленн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маломобильных групп населения</w:t>
      </w:r>
      <w:r w:rsidR="00963A51">
        <w:rPr>
          <w:rFonts w:ascii="Times New Roman" w:hAnsi="Times New Roman" w:cs="Times New Roman"/>
          <w:sz w:val="28"/>
          <w:szCs w:val="28"/>
        </w:rPr>
        <w:t xml:space="preserve"> (</w:t>
      </w:r>
      <w:r w:rsidR="00244F5C">
        <w:rPr>
          <w:rFonts w:ascii="Times New Roman" w:hAnsi="Times New Roman" w:cs="Times New Roman"/>
          <w:sz w:val="28"/>
          <w:szCs w:val="28"/>
        </w:rPr>
        <w:t>п</w:t>
      </w:r>
      <w:r w:rsidR="00963A51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</w:t>
      </w:r>
      <w:r w:rsidR="00244F5C">
        <w:rPr>
          <w:rFonts w:ascii="Times New Roman" w:hAnsi="Times New Roman" w:cs="Times New Roman"/>
          <w:sz w:val="28"/>
          <w:szCs w:val="28"/>
        </w:rPr>
        <w:t>п</w:t>
      </w:r>
      <w:r w:rsidR="008B6F45">
        <w:rPr>
          <w:rFonts w:ascii="Times New Roman" w:hAnsi="Times New Roman" w:cs="Times New Roman"/>
          <w:sz w:val="28"/>
          <w:szCs w:val="28"/>
        </w:rPr>
        <w:t>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D7C88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3C3125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  <w:r w:rsidR="00DD7C88">
        <w:rPr>
          <w:rFonts w:ascii="Times New Roman" w:hAnsi="Times New Roman" w:cs="Times New Roman"/>
          <w:sz w:val="28"/>
          <w:szCs w:val="28"/>
        </w:rPr>
        <w:t xml:space="preserve"> </w:t>
      </w: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460C5" w:rsidRPr="0017717C" w:rsidRDefault="009460C5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A43B9D">
        <w:rPr>
          <w:rFonts w:ascii="Times New Roman" w:hAnsi="Times New Roman"/>
          <w:sz w:val="28"/>
          <w:szCs w:val="28"/>
        </w:rPr>
        <w:t>39641,6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Плановый период реализации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подпрограммы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22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</w:rPr>
              <w:t>3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A43B9D" w:rsidP="00AD0BBE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19009,9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2C1D8D" w:rsidP="00AD0BBE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655160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A43B9D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8883,9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78024D" w:rsidP="000D2C1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D2C1A">
              <w:rPr>
                <w:rFonts w:ascii="Times New Roman" w:hAnsi="Times New Roman" w:cs="Times New Roman"/>
                <w:sz w:val="28"/>
                <w:szCs w:val="28"/>
              </w:rPr>
              <w:t>20284,6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8E2FC5" w:rsidP="00ED0372">
            <w:pPr>
              <w:ind w:firstLine="59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2945B7" w:rsidP="002945B7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10908,0</w:t>
            </w:r>
          </w:p>
        </w:tc>
      </w:tr>
      <w:tr w:rsidR="002945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7" w:rsidRPr="00A721CE" w:rsidRDefault="002945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2945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2945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2945B7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5B7" w:rsidRPr="006213C4" w:rsidRDefault="002945B7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A43B9D" w:rsidP="003C0FD6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39641,6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2C1D8D" w:rsidP="00AD0BBE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655160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B9D" w:rsidRPr="00A43B9D" w:rsidRDefault="00A43B9D" w:rsidP="00ED0372">
            <w:pPr>
              <w:ind w:firstLine="31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20139,0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lastRenderedPageBreak/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3F7551" w:rsidRPr="00043BA3" w:rsidRDefault="003C3125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7C59F6">
        <w:rPr>
          <w:rFonts w:ascii="Times New Roman" w:hAnsi="Times New Roman" w:cs="Times New Roman"/>
          <w:sz w:val="28"/>
          <w:szCs w:val="28"/>
        </w:rPr>
        <w:t>39474,2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7715DC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82BFF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7715DC" w:rsidP="007715DC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10908,0</w:t>
            </w:r>
          </w:p>
        </w:tc>
      </w:tr>
      <w:tr w:rsidR="007715DC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DC" w:rsidRPr="00705D44" w:rsidRDefault="007715DC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7715DC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7715DC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7715DC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5DC" w:rsidRPr="00705D44" w:rsidRDefault="007715DC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347,1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7C59F6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18842,5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AD35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7C59F6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8883,9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7C59F6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183983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AD35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7C59F6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20139,0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7715DC">
        <w:rPr>
          <w:rFonts w:ascii="Times New Roman" w:hAnsi="Times New Roman" w:cs="Times New Roman"/>
          <w:sz w:val="28"/>
          <w:szCs w:val="28"/>
        </w:rPr>
        <w:t>167,4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EB7" w:rsidRPr="00491D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8E4D83" w:rsidP="00ED0372"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1E5C50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8E4D83" w:rsidP="00ED0372"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1E5C50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0,0</w:t>
            </w:r>
          </w:p>
        </w:tc>
      </w:tr>
    </w:tbl>
    <w:p w:rsidR="00DA0245" w:rsidRDefault="00DA0245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3C3125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</w:t>
      </w:r>
      <w:r w:rsidR="00A35348">
        <w:rPr>
          <w:rFonts w:ascii="Times New Roman" w:hAnsi="Times New Roman" w:cs="Times New Roman"/>
          <w:sz w:val="28"/>
          <w:szCs w:val="20"/>
        </w:rPr>
        <w:t>и</w:t>
      </w:r>
      <w:r w:rsidRPr="00043BA3">
        <w:rPr>
          <w:rFonts w:ascii="Times New Roman" w:hAnsi="Times New Roman" w:cs="Times New Roman"/>
          <w:sz w:val="28"/>
          <w:szCs w:val="20"/>
        </w:rPr>
        <w:t>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</w:t>
      </w:r>
      <w:r w:rsidR="00A35348">
        <w:rPr>
          <w:rFonts w:ascii="Times New Roman" w:hAnsi="Times New Roman" w:cs="Times New Roman"/>
          <w:sz w:val="28"/>
          <w:szCs w:val="28"/>
        </w:rPr>
        <w:t>нистрации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A35348">
        <w:rPr>
          <w:rFonts w:ascii="Times New Roman" w:hAnsi="Times New Roman" w:cs="Times New Roman"/>
          <w:sz w:val="28"/>
          <w:szCs w:val="28"/>
        </w:rPr>
        <w:t>Медведо</w:t>
      </w:r>
      <w:r w:rsidR="00A35348">
        <w:rPr>
          <w:rFonts w:ascii="Times New Roman" w:hAnsi="Times New Roman" w:cs="Times New Roman"/>
          <w:sz w:val="28"/>
          <w:szCs w:val="28"/>
        </w:rPr>
        <w:t>в</w:t>
      </w:r>
      <w:r w:rsidR="00A35348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3C3125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lastRenderedPageBreak/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21D80" w:rsidRDefault="00B21D80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37C6C" w:rsidRDefault="00B21D80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7715DC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69FC" w:rsidRDefault="00711657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A84A7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11657" w:rsidRPr="00A84A75" w:rsidRDefault="00C37C6C" w:rsidP="001269FC">
      <w:pPr>
        <w:widowControl/>
        <w:tabs>
          <w:tab w:val="left" w:pos="780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</w:t>
      </w:r>
      <w:r w:rsidR="00B21D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1D80">
        <w:rPr>
          <w:rFonts w:ascii="Times New Roman" w:hAnsi="Times New Roman" w:cs="Times New Roman"/>
          <w:sz w:val="28"/>
          <w:szCs w:val="28"/>
        </w:rPr>
        <w:t xml:space="preserve">     И.Н. Ткаче</w:t>
      </w:r>
      <w:r w:rsidR="00B21D80">
        <w:rPr>
          <w:rFonts w:ascii="Times New Roman" w:hAnsi="Times New Roman" w:cs="Times New Roman"/>
          <w:sz w:val="28"/>
          <w:szCs w:val="28"/>
        </w:rPr>
        <w:t>н</w:t>
      </w:r>
      <w:r w:rsidR="00B21D80">
        <w:rPr>
          <w:rFonts w:ascii="Times New Roman" w:hAnsi="Times New Roman" w:cs="Times New Roman"/>
          <w:sz w:val="28"/>
          <w:szCs w:val="28"/>
        </w:rPr>
        <w:t>ко</w:t>
      </w:r>
    </w:p>
    <w:sectPr w:rsidR="00711657" w:rsidRPr="00A84A75" w:rsidSect="00D509C2">
      <w:headerReference w:type="default" r:id="rId8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188" w:rsidRDefault="00DF6188" w:rsidP="005603DF">
      <w:r>
        <w:separator/>
      </w:r>
    </w:p>
  </w:endnote>
  <w:endnote w:type="continuationSeparator" w:id="1">
    <w:p w:rsidR="00DF6188" w:rsidRDefault="00DF6188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188" w:rsidRDefault="00DF6188" w:rsidP="005603DF">
      <w:r>
        <w:separator/>
      </w:r>
    </w:p>
  </w:footnote>
  <w:footnote w:type="continuationSeparator" w:id="1">
    <w:p w:rsidR="00DF6188" w:rsidRDefault="00DF6188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3C3125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3C3125" w:rsidRPr="000A631D">
      <w:rPr>
        <w:rFonts w:ascii="Times New Roman" w:hAnsi="Times New Roman"/>
      </w:rPr>
      <w:fldChar w:fldCharType="separate"/>
    </w:r>
    <w:r w:rsidR="00B21D80">
      <w:rPr>
        <w:rFonts w:ascii="Times New Roman" w:hAnsi="Times New Roman"/>
        <w:noProof/>
      </w:rPr>
      <w:t>8</w:t>
    </w:r>
    <w:r w:rsidR="003C3125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490B"/>
    <w:rsid w:val="000155A5"/>
    <w:rsid w:val="00037AE9"/>
    <w:rsid w:val="000404D4"/>
    <w:rsid w:val="00043BA3"/>
    <w:rsid w:val="000537E5"/>
    <w:rsid w:val="00055D44"/>
    <w:rsid w:val="00060212"/>
    <w:rsid w:val="00063604"/>
    <w:rsid w:val="00066186"/>
    <w:rsid w:val="00074158"/>
    <w:rsid w:val="00075F73"/>
    <w:rsid w:val="00092174"/>
    <w:rsid w:val="0009433F"/>
    <w:rsid w:val="00095B69"/>
    <w:rsid w:val="000A3B6A"/>
    <w:rsid w:val="000A631D"/>
    <w:rsid w:val="000C048F"/>
    <w:rsid w:val="000C4FEC"/>
    <w:rsid w:val="000C55EF"/>
    <w:rsid w:val="000D2C1A"/>
    <w:rsid w:val="000E4408"/>
    <w:rsid w:val="000F290B"/>
    <w:rsid w:val="000F3386"/>
    <w:rsid w:val="000F7F26"/>
    <w:rsid w:val="00100337"/>
    <w:rsid w:val="001005F7"/>
    <w:rsid w:val="00105697"/>
    <w:rsid w:val="00116E70"/>
    <w:rsid w:val="00122856"/>
    <w:rsid w:val="001245C0"/>
    <w:rsid w:val="001269FC"/>
    <w:rsid w:val="001276DE"/>
    <w:rsid w:val="00127C9B"/>
    <w:rsid w:val="001429D4"/>
    <w:rsid w:val="00147BF6"/>
    <w:rsid w:val="00173AEF"/>
    <w:rsid w:val="0017717C"/>
    <w:rsid w:val="00181447"/>
    <w:rsid w:val="00183983"/>
    <w:rsid w:val="00183A31"/>
    <w:rsid w:val="00191535"/>
    <w:rsid w:val="001925E9"/>
    <w:rsid w:val="00192AC6"/>
    <w:rsid w:val="001958E3"/>
    <w:rsid w:val="00196AC4"/>
    <w:rsid w:val="001A06B1"/>
    <w:rsid w:val="001B1B8F"/>
    <w:rsid w:val="001B76EF"/>
    <w:rsid w:val="001C3385"/>
    <w:rsid w:val="001C33AC"/>
    <w:rsid w:val="001C3DB6"/>
    <w:rsid w:val="001C4CE4"/>
    <w:rsid w:val="001C7679"/>
    <w:rsid w:val="001D0D83"/>
    <w:rsid w:val="001D4F2E"/>
    <w:rsid w:val="001D7D05"/>
    <w:rsid w:val="001E3003"/>
    <w:rsid w:val="001E4D3F"/>
    <w:rsid w:val="001E5C50"/>
    <w:rsid w:val="001E6536"/>
    <w:rsid w:val="001E655E"/>
    <w:rsid w:val="002010D4"/>
    <w:rsid w:val="00204EAE"/>
    <w:rsid w:val="0022763E"/>
    <w:rsid w:val="00232C3E"/>
    <w:rsid w:val="00244F5C"/>
    <w:rsid w:val="00252FA3"/>
    <w:rsid w:val="00254580"/>
    <w:rsid w:val="002627BD"/>
    <w:rsid w:val="002757E9"/>
    <w:rsid w:val="00276D13"/>
    <w:rsid w:val="00281293"/>
    <w:rsid w:val="00286DA1"/>
    <w:rsid w:val="00293364"/>
    <w:rsid w:val="002934B1"/>
    <w:rsid w:val="002945B7"/>
    <w:rsid w:val="00294A5D"/>
    <w:rsid w:val="002A087B"/>
    <w:rsid w:val="002A0AAD"/>
    <w:rsid w:val="002A32B2"/>
    <w:rsid w:val="002A5505"/>
    <w:rsid w:val="002B3E9E"/>
    <w:rsid w:val="002B75C3"/>
    <w:rsid w:val="002C1D8D"/>
    <w:rsid w:val="002C24DE"/>
    <w:rsid w:val="002C4789"/>
    <w:rsid w:val="002C4ECD"/>
    <w:rsid w:val="002C7A0D"/>
    <w:rsid w:val="002D7129"/>
    <w:rsid w:val="002D787B"/>
    <w:rsid w:val="002D7CA8"/>
    <w:rsid w:val="002E0775"/>
    <w:rsid w:val="002E0EC0"/>
    <w:rsid w:val="002E1D9D"/>
    <w:rsid w:val="002E7B1B"/>
    <w:rsid w:val="002F6854"/>
    <w:rsid w:val="0030479E"/>
    <w:rsid w:val="00304F44"/>
    <w:rsid w:val="003113CB"/>
    <w:rsid w:val="00316210"/>
    <w:rsid w:val="00316546"/>
    <w:rsid w:val="0032125A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FA4"/>
    <w:rsid w:val="003B03E6"/>
    <w:rsid w:val="003B3CE1"/>
    <w:rsid w:val="003B51BE"/>
    <w:rsid w:val="003B67D8"/>
    <w:rsid w:val="003C0FD6"/>
    <w:rsid w:val="003C3125"/>
    <w:rsid w:val="003D0778"/>
    <w:rsid w:val="003D71A0"/>
    <w:rsid w:val="003E04EA"/>
    <w:rsid w:val="003E3CA9"/>
    <w:rsid w:val="003F09D6"/>
    <w:rsid w:val="003F7551"/>
    <w:rsid w:val="00402961"/>
    <w:rsid w:val="00405AD6"/>
    <w:rsid w:val="004151AB"/>
    <w:rsid w:val="00415CD5"/>
    <w:rsid w:val="004172FC"/>
    <w:rsid w:val="004239D3"/>
    <w:rsid w:val="00434A9C"/>
    <w:rsid w:val="00435649"/>
    <w:rsid w:val="004363FE"/>
    <w:rsid w:val="00446561"/>
    <w:rsid w:val="004507A4"/>
    <w:rsid w:val="004602C8"/>
    <w:rsid w:val="004651D8"/>
    <w:rsid w:val="00470B4B"/>
    <w:rsid w:val="004712E9"/>
    <w:rsid w:val="004720F9"/>
    <w:rsid w:val="004743C5"/>
    <w:rsid w:val="00476EB6"/>
    <w:rsid w:val="004909E3"/>
    <w:rsid w:val="00491512"/>
    <w:rsid w:val="0049248F"/>
    <w:rsid w:val="00495D06"/>
    <w:rsid w:val="004A0036"/>
    <w:rsid w:val="004A3C46"/>
    <w:rsid w:val="004A4C80"/>
    <w:rsid w:val="004C1D08"/>
    <w:rsid w:val="004C59A6"/>
    <w:rsid w:val="004D340F"/>
    <w:rsid w:val="004D7267"/>
    <w:rsid w:val="004E620B"/>
    <w:rsid w:val="004F4125"/>
    <w:rsid w:val="004F4717"/>
    <w:rsid w:val="004F74DF"/>
    <w:rsid w:val="004F75FF"/>
    <w:rsid w:val="00501342"/>
    <w:rsid w:val="00501A88"/>
    <w:rsid w:val="005042C0"/>
    <w:rsid w:val="00506DCC"/>
    <w:rsid w:val="005149C8"/>
    <w:rsid w:val="00514AAD"/>
    <w:rsid w:val="005219B0"/>
    <w:rsid w:val="00536B52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B7653"/>
    <w:rsid w:val="005C13C3"/>
    <w:rsid w:val="005C1833"/>
    <w:rsid w:val="005C3AFD"/>
    <w:rsid w:val="005C7540"/>
    <w:rsid w:val="005C7A2A"/>
    <w:rsid w:val="005D07DE"/>
    <w:rsid w:val="005E314A"/>
    <w:rsid w:val="005E6A5D"/>
    <w:rsid w:val="005F0BE0"/>
    <w:rsid w:val="005F6AD9"/>
    <w:rsid w:val="006043E9"/>
    <w:rsid w:val="006069E5"/>
    <w:rsid w:val="00613B3D"/>
    <w:rsid w:val="006178FD"/>
    <w:rsid w:val="00622B95"/>
    <w:rsid w:val="0062493F"/>
    <w:rsid w:val="00631BA4"/>
    <w:rsid w:val="006322AA"/>
    <w:rsid w:val="006334B5"/>
    <w:rsid w:val="006350F1"/>
    <w:rsid w:val="00637D97"/>
    <w:rsid w:val="00640EB7"/>
    <w:rsid w:val="006478C1"/>
    <w:rsid w:val="006478D9"/>
    <w:rsid w:val="00655160"/>
    <w:rsid w:val="00655A86"/>
    <w:rsid w:val="00657427"/>
    <w:rsid w:val="00660D5A"/>
    <w:rsid w:val="00662E44"/>
    <w:rsid w:val="00667E6D"/>
    <w:rsid w:val="00667FCC"/>
    <w:rsid w:val="006935E3"/>
    <w:rsid w:val="006937D5"/>
    <w:rsid w:val="00697AFF"/>
    <w:rsid w:val="006A40CB"/>
    <w:rsid w:val="006A56CA"/>
    <w:rsid w:val="006C05C2"/>
    <w:rsid w:val="006C3D90"/>
    <w:rsid w:val="006C5135"/>
    <w:rsid w:val="006C714F"/>
    <w:rsid w:val="006D2D70"/>
    <w:rsid w:val="006D4F22"/>
    <w:rsid w:val="006D57D4"/>
    <w:rsid w:val="006D5DBD"/>
    <w:rsid w:val="006D7CC0"/>
    <w:rsid w:val="006E7517"/>
    <w:rsid w:val="006E78F3"/>
    <w:rsid w:val="006E7F39"/>
    <w:rsid w:val="00702D8E"/>
    <w:rsid w:val="007053C4"/>
    <w:rsid w:val="00705D44"/>
    <w:rsid w:val="007101C5"/>
    <w:rsid w:val="00711105"/>
    <w:rsid w:val="007114E0"/>
    <w:rsid w:val="00711657"/>
    <w:rsid w:val="00711AB0"/>
    <w:rsid w:val="0071373D"/>
    <w:rsid w:val="00714794"/>
    <w:rsid w:val="007207E9"/>
    <w:rsid w:val="00721373"/>
    <w:rsid w:val="00726308"/>
    <w:rsid w:val="00737047"/>
    <w:rsid w:val="00745E83"/>
    <w:rsid w:val="0075331D"/>
    <w:rsid w:val="00755705"/>
    <w:rsid w:val="00756203"/>
    <w:rsid w:val="00760FE6"/>
    <w:rsid w:val="00761ED8"/>
    <w:rsid w:val="00762D15"/>
    <w:rsid w:val="00765EC9"/>
    <w:rsid w:val="00766948"/>
    <w:rsid w:val="007671FA"/>
    <w:rsid w:val="007715DC"/>
    <w:rsid w:val="0078024D"/>
    <w:rsid w:val="0078199B"/>
    <w:rsid w:val="00783454"/>
    <w:rsid w:val="007904B1"/>
    <w:rsid w:val="00795250"/>
    <w:rsid w:val="007A1DCA"/>
    <w:rsid w:val="007A3916"/>
    <w:rsid w:val="007C0D96"/>
    <w:rsid w:val="007C4492"/>
    <w:rsid w:val="007C59F6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12C"/>
    <w:rsid w:val="00826909"/>
    <w:rsid w:val="00830A8A"/>
    <w:rsid w:val="00830B05"/>
    <w:rsid w:val="008319B3"/>
    <w:rsid w:val="00834732"/>
    <w:rsid w:val="00834ACF"/>
    <w:rsid w:val="00835F67"/>
    <w:rsid w:val="00837D55"/>
    <w:rsid w:val="00840C87"/>
    <w:rsid w:val="00851283"/>
    <w:rsid w:val="0085245A"/>
    <w:rsid w:val="00870704"/>
    <w:rsid w:val="00871513"/>
    <w:rsid w:val="008746EB"/>
    <w:rsid w:val="00892E61"/>
    <w:rsid w:val="008949A4"/>
    <w:rsid w:val="008A3520"/>
    <w:rsid w:val="008B1C57"/>
    <w:rsid w:val="008B2796"/>
    <w:rsid w:val="008B566D"/>
    <w:rsid w:val="008B6F45"/>
    <w:rsid w:val="008B7BDC"/>
    <w:rsid w:val="008E02F6"/>
    <w:rsid w:val="008E2FC5"/>
    <w:rsid w:val="008E4D83"/>
    <w:rsid w:val="008E7926"/>
    <w:rsid w:val="008F2168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460C5"/>
    <w:rsid w:val="009539A1"/>
    <w:rsid w:val="00963A51"/>
    <w:rsid w:val="00964D3E"/>
    <w:rsid w:val="00970CEE"/>
    <w:rsid w:val="00971DE6"/>
    <w:rsid w:val="009938DA"/>
    <w:rsid w:val="0099716E"/>
    <w:rsid w:val="00997C9C"/>
    <w:rsid w:val="009A426C"/>
    <w:rsid w:val="009A4F15"/>
    <w:rsid w:val="009B75B8"/>
    <w:rsid w:val="009C57D6"/>
    <w:rsid w:val="009D0646"/>
    <w:rsid w:val="009D06D9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01673"/>
    <w:rsid w:val="00A074EB"/>
    <w:rsid w:val="00A10604"/>
    <w:rsid w:val="00A22AFD"/>
    <w:rsid w:val="00A22F19"/>
    <w:rsid w:val="00A255F2"/>
    <w:rsid w:val="00A30178"/>
    <w:rsid w:val="00A30357"/>
    <w:rsid w:val="00A321E9"/>
    <w:rsid w:val="00A35348"/>
    <w:rsid w:val="00A43B9D"/>
    <w:rsid w:val="00A43D4B"/>
    <w:rsid w:val="00A444F8"/>
    <w:rsid w:val="00A56955"/>
    <w:rsid w:val="00A5742A"/>
    <w:rsid w:val="00A61979"/>
    <w:rsid w:val="00A621BF"/>
    <w:rsid w:val="00A721CE"/>
    <w:rsid w:val="00A734A9"/>
    <w:rsid w:val="00A80602"/>
    <w:rsid w:val="00A84A75"/>
    <w:rsid w:val="00A87471"/>
    <w:rsid w:val="00A96563"/>
    <w:rsid w:val="00AA4D17"/>
    <w:rsid w:val="00AA6B23"/>
    <w:rsid w:val="00AB6F0C"/>
    <w:rsid w:val="00AC0C7C"/>
    <w:rsid w:val="00AC377B"/>
    <w:rsid w:val="00AD0BBE"/>
    <w:rsid w:val="00AD353A"/>
    <w:rsid w:val="00AD5141"/>
    <w:rsid w:val="00AD783A"/>
    <w:rsid w:val="00AE0AB0"/>
    <w:rsid w:val="00AE2A20"/>
    <w:rsid w:val="00AE3EB9"/>
    <w:rsid w:val="00AF6D3A"/>
    <w:rsid w:val="00B0598C"/>
    <w:rsid w:val="00B073F9"/>
    <w:rsid w:val="00B078DA"/>
    <w:rsid w:val="00B10740"/>
    <w:rsid w:val="00B12412"/>
    <w:rsid w:val="00B1380E"/>
    <w:rsid w:val="00B15D83"/>
    <w:rsid w:val="00B2007E"/>
    <w:rsid w:val="00B21D80"/>
    <w:rsid w:val="00B2224F"/>
    <w:rsid w:val="00B23419"/>
    <w:rsid w:val="00B26EF5"/>
    <w:rsid w:val="00B44C0B"/>
    <w:rsid w:val="00B4552B"/>
    <w:rsid w:val="00B6322E"/>
    <w:rsid w:val="00B67A26"/>
    <w:rsid w:val="00B77261"/>
    <w:rsid w:val="00B80B06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1A97"/>
    <w:rsid w:val="00C0255C"/>
    <w:rsid w:val="00C04284"/>
    <w:rsid w:val="00C10B6C"/>
    <w:rsid w:val="00C12058"/>
    <w:rsid w:val="00C20B68"/>
    <w:rsid w:val="00C22AFF"/>
    <w:rsid w:val="00C3610C"/>
    <w:rsid w:val="00C37C6C"/>
    <w:rsid w:val="00C41C9E"/>
    <w:rsid w:val="00C4245D"/>
    <w:rsid w:val="00C55E88"/>
    <w:rsid w:val="00C61F3D"/>
    <w:rsid w:val="00C717A8"/>
    <w:rsid w:val="00C73A05"/>
    <w:rsid w:val="00C77BB7"/>
    <w:rsid w:val="00C80AFB"/>
    <w:rsid w:val="00C824D4"/>
    <w:rsid w:val="00C84BF3"/>
    <w:rsid w:val="00C907D6"/>
    <w:rsid w:val="00C91650"/>
    <w:rsid w:val="00C96860"/>
    <w:rsid w:val="00C97872"/>
    <w:rsid w:val="00CA0CB0"/>
    <w:rsid w:val="00CA1D30"/>
    <w:rsid w:val="00CA4A5F"/>
    <w:rsid w:val="00CB4DDF"/>
    <w:rsid w:val="00CB63F9"/>
    <w:rsid w:val="00CB71C2"/>
    <w:rsid w:val="00CC2983"/>
    <w:rsid w:val="00CC5E15"/>
    <w:rsid w:val="00CD003E"/>
    <w:rsid w:val="00CD14B7"/>
    <w:rsid w:val="00CD2CB1"/>
    <w:rsid w:val="00CD4C04"/>
    <w:rsid w:val="00CE26D2"/>
    <w:rsid w:val="00CF3830"/>
    <w:rsid w:val="00D06999"/>
    <w:rsid w:val="00D14980"/>
    <w:rsid w:val="00D160F9"/>
    <w:rsid w:val="00D25498"/>
    <w:rsid w:val="00D26A96"/>
    <w:rsid w:val="00D2727A"/>
    <w:rsid w:val="00D27895"/>
    <w:rsid w:val="00D32A26"/>
    <w:rsid w:val="00D3490B"/>
    <w:rsid w:val="00D40D33"/>
    <w:rsid w:val="00D4186B"/>
    <w:rsid w:val="00D43C80"/>
    <w:rsid w:val="00D44209"/>
    <w:rsid w:val="00D44F8F"/>
    <w:rsid w:val="00D466A4"/>
    <w:rsid w:val="00D470F7"/>
    <w:rsid w:val="00D50556"/>
    <w:rsid w:val="00D509C2"/>
    <w:rsid w:val="00D52B30"/>
    <w:rsid w:val="00D60D08"/>
    <w:rsid w:val="00D6359D"/>
    <w:rsid w:val="00D75422"/>
    <w:rsid w:val="00D769F3"/>
    <w:rsid w:val="00D817F8"/>
    <w:rsid w:val="00D81ECD"/>
    <w:rsid w:val="00D82BFF"/>
    <w:rsid w:val="00D908C2"/>
    <w:rsid w:val="00D927EB"/>
    <w:rsid w:val="00D92CD0"/>
    <w:rsid w:val="00D93519"/>
    <w:rsid w:val="00D94149"/>
    <w:rsid w:val="00DA0245"/>
    <w:rsid w:val="00DA16C0"/>
    <w:rsid w:val="00DA2A12"/>
    <w:rsid w:val="00DA3F87"/>
    <w:rsid w:val="00DA6147"/>
    <w:rsid w:val="00DB4F6D"/>
    <w:rsid w:val="00DB6881"/>
    <w:rsid w:val="00DB7737"/>
    <w:rsid w:val="00DC039D"/>
    <w:rsid w:val="00DC317E"/>
    <w:rsid w:val="00DC4762"/>
    <w:rsid w:val="00DD1EB0"/>
    <w:rsid w:val="00DD6166"/>
    <w:rsid w:val="00DD7892"/>
    <w:rsid w:val="00DD7C88"/>
    <w:rsid w:val="00DE1C8E"/>
    <w:rsid w:val="00DE31B4"/>
    <w:rsid w:val="00DF210F"/>
    <w:rsid w:val="00DF3277"/>
    <w:rsid w:val="00DF5A3B"/>
    <w:rsid w:val="00DF6188"/>
    <w:rsid w:val="00E031DA"/>
    <w:rsid w:val="00E10525"/>
    <w:rsid w:val="00E12919"/>
    <w:rsid w:val="00E1587D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4BAA"/>
    <w:rsid w:val="00E65535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B15CE"/>
    <w:rsid w:val="00EB29B2"/>
    <w:rsid w:val="00EB3767"/>
    <w:rsid w:val="00EC17DB"/>
    <w:rsid w:val="00EC7B13"/>
    <w:rsid w:val="00ED0372"/>
    <w:rsid w:val="00ED5F62"/>
    <w:rsid w:val="00EE35A6"/>
    <w:rsid w:val="00EE5A13"/>
    <w:rsid w:val="00EE68B7"/>
    <w:rsid w:val="00EF12E6"/>
    <w:rsid w:val="00EF2A51"/>
    <w:rsid w:val="00F02164"/>
    <w:rsid w:val="00F031D5"/>
    <w:rsid w:val="00F070B9"/>
    <w:rsid w:val="00F071E5"/>
    <w:rsid w:val="00F11E1F"/>
    <w:rsid w:val="00F24EA7"/>
    <w:rsid w:val="00F26306"/>
    <w:rsid w:val="00F27B87"/>
    <w:rsid w:val="00F404CB"/>
    <w:rsid w:val="00F50222"/>
    <w:rsid w:val="00F51C25"/>
    <w:rsid w:val="00F62380"/>
    <w:rsid w:val="00F62F8A"/>
    <w:rsid w:val="00F7489B"/>
    <w:rsid w:val="00F8092B"/>
    <w:rsid w:val="00F81BAE"/>
    <w:rsid w:val="00F949E1"/>
    <w:rsid w:val="00FA1884"/>
    <w:rsid w:val="00FA1ACA"/>
    <w:rsid w:val="00FA46BB"/>
    <w:rsid w:val="00FB113C"/>
    <w:rsid w:val="00FB2A16"/>
    <w:rsid w:val="00FC541C"/>
    <w:rsid w:val="00FC7C5D"/>
    <w:rsid w:val="00FD0E89"/>
    <w:rsid w:val="00FD567F"/>
    <w:rsid w:val="00FD716E"/>
    <w:rsid w:val="00FF0E31"/>
    <w:rsid w:val="00FF3DC9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CAF9-08A8-4A19-9760-766132E6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15384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100</cp:revision>
  <cp:lastPrinted>2022-12-20T09:57:00Z</cp:lastPrinted>
  <dcterms:created xsi:type="dcterms:W3CDTF">2021-05-25T10:36:00Z</dcterms:created>
  <dcterms:modified xsi:type="dcterms:W3CDTF">2023-06-06T10:52:00Z</dcterms:modified>
</cp:coreProperties>
</file>