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360" w:before="280" w:afterAutospacing="0" w:after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2023 году Отделение СФР по Краснодарскому краю проактивно назначило более 3,7 тысяч пенсий по инвалидности </w:t>
      </w:r>
    </w:p>
    <w:p>
      <w:pPr>
        <w:pStyle w:val="NormalWeb"/>
        <w:spacing w:lineRule="auto" w:line="276" w:beforeAutospacing="0" w:before="0" w:afterAutospacing="0" w:after="240"/>
        <w:ind w:firstLine="709"/>
        <w:jc w:val="both"/>
        <w:rPr>
          <w:bCs/>
          <w:i/>
          <w:i/>
        </w:rPr>
      </w:pPr>
      <w:r>
        <w:rPr>
          <w:bCs/>
          <w:i/>
        </w:rPr>
        <w:t>В этом году за 4 месяца гражданам было назначено 3760 страховых и социальных пенсий по инвалидности.  Выплаты оформляются без подачи заявления на основании сведений, поступивших из Федерального реестра инвалидов (ФРИ).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/>
      </w:pPr>
      <w:r>
        <w:rPr>
          <w:bCs/>
        </w:rPr>
        <w:t xml:space="preserve">Напомним, что с 1 января 2022 года в России действует беззаявительный порядок назначения страховых и социальных пенсий по инвалидности. Теперь они устанавливаются со дня признания гражданина инвалидом без представления подтверждающих документов в Отделение СФР. 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/>
      </w:pPr>
      <w:r>
        <w:rPr/>
        <w:t>Решение о назначении страховой или социальной пенсии по инвалидности принимается не позднее пяти рабочих дней со дня поступления информации из ФРИ. В течение трех рабочих дней после вынесения решения о назначении пенсии Социальный фонд извещает об этом гражданина на портале Госуслуг или по почте, если у него нет учетной записи. 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Гражданин сам определяет способ доставки пенсии. Для этого необходимо подать заявление дистанционно через личный кабинет на сайте СФР или на портале Госуслуг или лично в клиентской службе СФР или МФЦ. Изменить способ доставки выплат также можно в любое время. Достаточно подать новое заявление.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/>
      </w:pPr>
      <w:r>
        <w:rPr/>
        <w:t>Необходимо отметить, что пенсия назначается гражданам, которые до установления инвалидности не являлись пенсионерами. Если инвалидность устанавливается гражданину, который уже получает пенсию, ОСФР по Краснодарскому краю назначает ежемесячную денежную выплату.</w:t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ind w:firstLine="709"/>
        <w:jc w:val="both"/>
        <w:rPr/>
      </w:pPr>
      <w:r>
        <w:rPr/>
        <w:t xml:space="preserve">Предоставление ряда государственных услуг в проактивном режиме, то есть без личного обращения граждан с заявлением и документами, осуществляется в рамках социального казначейства, цель которого — ускорить процесс назначения мер социальной поддержки.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8B94-B183-4D88-9C22-31978C9E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251</Words>
  <Characters>1628</Characters>
  <CharactersWithSpaces>1884</CharactersWithSpaces>
  <Paragraphs>14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2023-05-17T05:35:00Z</dcterms:created>
  <dc:creator>Обиход Владимир Анатольевич</dc:creator>
  <dc:description/>
  <dc:language>ru-RU</dc:language>
  <cp:lastModifiedBy>Обиход Владимир Анатольевич</cp:lastModifiedBy>
  <cp:lastPrinted>2023-05-16T05:38:00Z</cp:lastPrinted>
  <dcterms:modified xsi:type="dcterms:W3CDTF">2023-05-17T05:35:00Z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