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644"/>
      </w:tblGrid>
      <w:tr w:rsidR="00A1482B" w:rsidRPr="003613BC" w:rsidTr="000F4398">
        <w:trPr>
          <w:trHeight w:val="5612"/>
        </w:trPr>
        <w:tc>
          <w:tcPr>
            <w:tcW w:w="4644" w:type="dxa"/>
          </w:tcPr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:rsidR="00A1482B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Pr="00B63263" w:rsidRDefault="00D81986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от______________ </w:t>
            </w:r>
            <w:r w:rsidR="00A1482B" w:rsidRPr="00B63263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Default="00CD6D73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Default="00D81986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1482B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A1482B" w:rsidRPr="00E70CA6">
              <w:rPr>
                <w:rFonts w:ascii="Times New Roman" w:hAnsi="Times New Roman"/>
                <w:sz w:val="28"/>
                <w:szCs w:val="28"/>
              </w:rPr>
              <w:t>№</w:t>
            </w:r>
            <w:r w:rsidR="00A1482B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в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постановления администрации Медведовского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сельского поселения Тимашевского района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от _____________№_______)</w:t>
            </w:r>
          </w:p>
          <w:p w:rsidR="00A1482B" w:rsidRPr="003613BC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EB6E15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Pr="00EB6E15">
        <w:rPr>
          <w:rFonts w:ascii="Times New Roman" w:eastAsia="Arial Unicode MS" w:hAnsi="Times New Roman"/>
          <w:b/>
          <w:sz w:val="28"/>
          <w:szCs w:val="28"/>
        </w:rPr>
        <w:t>Медведовского сельского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>поселения Тимашевского района</w:t>
      </w:r>
      <w:r w:rsidRPr="00EB6E15">
        <w:rPr>
          <w:rFonts w:ascii="Times New Roman" w:hAnsi="Times New Roman"/>
          <w:b/>
          <w:sz w:val="28"/>
          <w:szCs w:val="28"/>
        </w:rPr>
        <w:t xml:space="preserve"> 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на 2020-2024 годы»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среды»на 2020-2024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D7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 (курирующий данное напра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42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 Тимашевского района, МУ «Управление СТС и ЖКХ» Медведовского сельского поселения Тимашевского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наиболее благоприятных и комфор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условий жизнедеятельности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Программы (в период 2020-2024 годов), в том числе реализации к 2024 году более 5 комплексных проектов по благоустройству,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социальной ответственности населения в части сохранности благоустроенных те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риторий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реализацию мероприятий по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ройству территорий Медведовского 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доли отремонтированных дворовых территорий многоквартирных домов и территорий общего пользования Медведовского сельского поселения;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2020-2024 годы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2020-2024годах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32211,5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21DA7">
              <w:rPr>
                <w:rFonts w:ascii="Times New Roman" w:hAnsi="Times New Roman"/>
                <w:sz w:val="28"/>
                <w:szCs w:val="28"/>
              </w:rPr>
              <w:t>28223,4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2022 год – 890,1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Из них: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бюджета поселения </w:t>
            </w:r>
            <w:r w:rsidR="00421DA7">
              <w:rPr>
                <w:b w:val="0"/>
                <w:sz w:val="28"/>
                <w:szCs w:val="28"/>
              </w:rPr>
              <w:t>6291,1</w:t>
            </w:r>
            <w:r w:rsidRPr="00EB6E15">
              <w:rPr>
                <w:b w:val="0"/>
                <w:sz w:val="28"/>
                <w:szCs w:val="28"/>
              </w:rPr>
              <w:t xml:space="preserve"> тыс.руб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21DA7">
              <w:rPr>
                <w:rFonts w:ascii="Times New Roman" w:hAnsi="Times New Roman"/>
                <w:sz w:val="28"/>
                <w:szCs w:val="28"/>
              </w:rPr>
              <w:t>2303,0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год – 890,1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За счет краевого бюджета</w:t>
            </w:r>
            <w:r w:rsidR="005E563E">
              <w:rPr>
                <w:b w:val="0"/>
                <w:sz w:val="28"/>
                <w:szCs w:val="28"/>
              </w:rPr>
              <w:t xml:space="preserve"> </w:t>
            </w:r>
            <w:r w:rsidR="00421DA7">
              <w:rPr>
                <w:b w:val="0"/>
                <w:sz w:val="28"/>
                <w:szCs w:val="28"/>
              </w:rPr>
              <w:t xml:space="preserve">1036,8 </w:t>
            </w:r>
            <w:r w:rsidRPr="00EB6E15">
              <w:rPr>
                <w:b w:val="0"/>
                <w:sz w:val="28"/>
                <w:szCs w:val="28"/>
              </w:rPr>
              <w:t>тыс.руб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2020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21DA7">
              <w:rPr>
                <w:b w:val="0"/>
                <w:sz w:val="28"/>
                <w:szCs w:val="28"/>
              </w:rPr>
              <w:t>1036,8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год – 0,0 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 тыс.рублей.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421DA7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24883,6 </w:t>
            </w:r>
            <w:r w:rsidR="002E2526" w:rsidRPr="00EB6E15">
              <w:rPr>
                <w:b w:val="0"/>
                <w:sz w:val="28"/>
                <w:szCs w:val="28"/>
              </w:rPr>
              <w:t>тыс.руб.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2020 год – 0,0 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21DA7">
              <w:rPr>
                <w:b w:val="0"/>
                <w:sz w:val="28"/>
                <w:szCs w:val="28"/>
              </w:rPr>
              <w:t>24883,6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год – 0,0 тыс.рублей.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0,0тыс.рублей.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CF476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ной программы осуществляет глава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поселения Т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ния;создание условий для работы и 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дыха жителей сельского посел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ния;улучшение </w:t>
            </w:r>
            <w:r w:rsidR="000A0E97">
              <w:rPr>
                <w:rFonts w:ascii="Times New Roman" w:hAnsi="Times New Roman"/>
                <w:sz w:val="28"/>
                <w:szCs w:val="28"/>
              </w:rPr>
              <w:t>са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состояния территорий Медведовского сельского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привитие жителям любви и уважения к 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вания жителей поселения;увеличение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саждений;увеличение количества выс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живаемых деревьев;обустройство терр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тории многоквартирных домов детск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ми, спортивными площадками, ремонт дворовых проездов, освещения, устано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3CA7" w:rsidRDefault="00733CA7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EB6E15" w:rsidRDefault="00C153FC" w:rsidP="007B1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1.</w:t>
      </w:r>
      <w:r w:rsidR="002E2526" w:rsidRPr="00EB6E15">
        <w:rPr>
          <w:rFonts w:ascii="Times New Roman" w:hAnsi="Times New Roman"/>
          <w:b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EB6E15" w:rsidRDefault="0089266B" w:rsidP="007B1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Б</w:t>
      </w:r>
      <w:r w:rsidR="002E2526" w:rsidRPr="00EB6E15">
        <w:rPr>
          <w:rFonts w:ascii="Times New Roman" w:hAnsi="Times New Roman"/>
          <w:b/>
          <w:sz w:val="28"/>
          <w:szCs w:val="28"/>
          <w:shd w:val="clear" w:color="auto" w:fill="FFFFFF"/>
        </w:rPr>
        <w:t>лагоустройствав Медведовскомсельском поселении</w:t>
      </w:r>
    </w:p>
    <w:p w:rsidR="002E2526" w:rsidRPr="00EB6E15" w:rsidRDefault="002E2526" w:rsidP="007B1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hAnsi="Times New Roman"/>
          <w:b/>
          <w:sz w:val="28"/>
          <w:szCs w:val="28"/>
          <w:shd w:val="clear" w:color="auto" w:fill="FFFFFF"/>
        </w:rPr>
        <w:t>Тимашевского районаи прогноз ее развития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в соответствии с Правилами предоставления и распределения субсидий из федерального бюджета бюджетам субъектов 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 на поддержку государственных программ субъектов 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 и муниципальных программ, утвержденных Постановлен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ем Правительств</w:t>
      </w:r>
      <w:r w:rsidR="00B76423">
        <w:rPr>
          <w:rFonts w:ascii="Times New Roman" w:eastAsia="Times New Roman" w:hAnsi="Times New Roman"/>
          <w:sz w:val="28"/>
          <w:szCs w:val="28"/>
          <w:lang w:eastAsia="ru-RU"/>
        </w:rPr>
        <w:t>а Российской Федерации от 10 февраля 2017 г.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№169, метод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ческими рекомендациями Министерства строительства и жилищно-коммунального хозяйства Российской Федерации по подготовке правил благ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устройства территорий поселений, Методическими рекомендациями Мин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стерства строительства и жилищно-коммунального хозяйства Российской Ф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дерации по подготовке государственных программ формирования современной городской среды в рамках реализации  приоритетного проекта «Формирование городской среды» на 2020-2024 годы, постановлением главы администрации (губернатора) Краснодар</w:t>
      </w:r>
      <w:r w:rsidR="00B76423">
        <w:rPr>
          <w:rFonts w:ascii="Times New Roman" w:eastAsia="Times New Roman" w:hAnsi="Times New Roman"/>
          <w:sz w:val="28"/>
          <w:szCs w:val="28"/>
          <w:lang w:eastAsia="ru-RU"/>
        </w:rPr>
        <w:t>ского края от 14 марта 2017 г.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№ 169 «О внесении 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менений в некоторые правовые акты главы администрации (губернатора) Кра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края».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является основой для реализации мероприятий по благоустройству, озеленению, улучшению санитарного состояния и архите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турно-художественного оформления Медведовского сельского поселения 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машевского района.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До настоящего времени благоустройство территорий общего пользования осуществлялось по отдельным видам работ, без взаимной увязки элементов благоустройства. Некоторые виды работ по благоустройству практически не производились: работы по содержанию зеленых зон, организации новых зон, площадок для отдыха детей разных возрастных групп, устройство парковок для временного хранения автомобилей.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Надлежащее состояние территорий является важным фактором формир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вания благоприятной экологической и эстетической городской среды.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мест массового пребывания населения невозможно ос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ществлять без комплексного подхода. При отсутствии проекта благоустройства получить многофункциональную адаптивную среду для отдыха граждан не представляется возможным. При выполнении работ по благоустройству нео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ходимо учитывать мнение жителей и сложившуюся инфраструктуру для опр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деления функциональных зон территории и выполнения других мероприятий.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Комплексный подход позволяет наиболее полно и в то же время детально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охватить весь объем проблем, решение которых может обеспечить комфортные условия проживания всего населения.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 целях настоящей программы под дворовой территорией понимается 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вокупность территорий, прилегающих к многоквартирным домам, с распол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женными на них объектами, предназначенными для обслуживания и эксплу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тации таких домов, и элементами благоустройства этих территорий, в том чи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ле парковками (парковочными местами), тротуарами и автомобильными дор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гами, включая автомобильные дороги, образующие проезды к территориям, прилегающим к многоквартирным домам.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Большие нарекания вызывают благоустройство и санитарное содержание дворовых территорий МКД. Текущее состояние большинства дворовых терр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торий не соответствует современным требованиям к местам проживания гра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дан, обусловленным нормами Градостроительного и Жилищного кодексов 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Федерации, а именно: значительная часть асфальтобетонного покр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тия внутридворовых проездов имеет высокую степень износа, так как срок службы большинства дорожных покрытий с момента застройки многокварти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ными домами истек, практически не производятся работы по озеленению дв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ровых территорий, малое количество парковок для временного хранения авт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мобилей, что приводит и их хаотичной парковки, недостаточно оборудованных детских и спортивных площадок. Зеленые насаждения на дворовых </w:t>
      </w:r>
      <w:r w:rsidR="000A0E97">
        <w:rPr>
          <w:rFonts w:ascii="Times New Roman" w:eastAsia="Times New Roman" w:hAnsi="Times New Roman"/>
          <w:sz w:val="28"/>
          <w:szCs w:val="28"/>
          <w:lang w:eastAsia="ru-RU"/>
        </w:rPr>
        <w:t>территор</w:t>
      </w:r>
      <w:r w:rsidR="000A0E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A0E9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A0E97" w:rsidRPr="00EB6E1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представлены, в основном, зрелыми или перестойными деревьями. Не во всех дворовых территориях на газонах устроены цветники.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Существующее положение обусловлено рядом факторов: нарушение гр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достроительных норм при застройке территорий, введение новых современных требований к благоустройству и содержанию территорий, недостаточное ф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нансирование программных мероприятий в предыдущие годы, отсутствие ко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Проблемы восстановления иремонта асфальтового покрытия мест общего пользования и дворов, озеленения, освещения,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Для решения данной проблемы требуется участие и взаимодействие орг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нов местного самоуправления Медведовского сельского поселения Тимаше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ского района с привлечением населения, предприятий и организаций.</w:t>
      </w:r>
    </w:p>
    <w:p w:rsidR="002E2526" w:rsidRPr="00EB6E15" w:rsidRDefault="002E2526" w:rsidP="00CF47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оценки необходимости участия в региональной программе «Формирования современной городской среды», проведена</w:t>
      </w:r>
      <w:r w:rsidRPr="00EB6E15">
        <w:rPr>
          <w:rFonts w:ascii="Times New Roman" w:hAnsi="Times New Roman"/>
          <w:sz w:val="28"/>
          <w:szCs w:val="28"/>
        </w:rPr>
        <w:t xml:space="preserve"> инвентаризация всех</w:t>
      </w:r>
      <w:r w:rsidRPr="00EB6E15">
        <w:rPr>
          <w:rFonts w:ascii="Times New Roman" w:eastAsia="Times New Roman" w:hAnsi="Times New Roman"/>
          <w:sz w:val="28"/>
          <w:szCs w:val="28"/>
        </w:rPr>
        <w:t xml:space="preserve"> дворовых и общественных территорий Медведовского сельского посел</w:t>
      </w:r>
      <w:r w:rsidRPr="00EB6E15">
        <w:rPr>
          <w:rFonts w:ascii="Times New Roman" w:eastAsia="Times New Roman" w:hAnsi="Times New Roman"/>
          <w:sz w:val="28"/>
          <w:szCs w:val="28"/>
        </w:rPr>
        <w:t>е</w:t>
      </w:r>
      <w:r w:rsidRPr="00EB6E15">
        <w:rPr>
          <w:rFonts w:ascii="Times New Roman" w:eastAsia="Times New Roman" w:hAnsi="Times New Roman"/>
          <w:sz w:val="28"/>
          <w:szCs w:val="28"/>
        </w:rPr>
        <w:t>ния Тимашевского района для определения текущего состояния сферы благоу</w:t>
      </w:r>
      <w:r w:rsidRPr="00EB6E15">
        <w:rPr>
          <w:rFonts w:ascii="Times New Roman" w:eastAsia="Times New Roman" w:hAnsi="Times New Roman"/>
          <w:sz w:val="28"/>
          <w:szCs w:val="28"/>
        </w:rPr>
        <w:t>с</w:t>
      </w:r>
      <w:r w:rsidRPr="00EB6E15">
        <w:rPr>
          <w:rFonts w:ascii="Times New Roman" w:eastAsia="Times New Roman" w:hAnsi="Times New Roman"/>
          <w:sz w:val="28"/>
          <w:szCs w:val="28"/>
        </w:rPr>
        <w:t xml:space="preserve">тройства в </w:t>
      </w:r>
      <w:r w:rsidRPr="00EB6E15">
        <w:rPr>
          <w:rFonts w:ascii="Times New Roman" w:hAnsi="Times New Roman"/>
          <w:sz w:val="28"/>
          <w:szCs w:val="28"/>
        </w:rPr>
        <w:t>Медведовском сельском поселении Тимашевского района</w:t>
      </w:r>
      <w:r w:rsidRPr="00EB6E15">
        <w:rPr>
          <w:rFonts w:ascii="Times New Roman" w:eastAsia="Times New Roman" w:hAnsi="Times New Roman"/>
          <w:sz w:val="28"/>
          <w:szCs w:val="28"/>
        </w:rPr>
        <w:t>, в том числе выявлении перечня дворовых и общественных территорий, нуждающи</w:t>
      </w:r>
      <w:r w:rsidRPr="00EB6E15">
        <w:rPr>
          <w:rFonts w:ascii="Times New Roman" w:eastAsia="Times New Roman" w:hAnsi="Times New Roman"/>
          <w:sz w:val="28"/>
          <w:szCs w:val="28"/>
        </w:rPr>
        <w:t>х</w:t>
      </w:r>
      <w:r w:rsidRPr="00EB6E15">
        <w:rPr>
          <w:rFonts w:ascii="Times New Roman" w:eastAsia="Times New Roman" w:hAnsi="Times New Roman"/>
          <w:sz w:val="28"/>
          <w:szCs w:val="28"/>
        </w:rPr>
        <w:t xml:space="preserve">ся в первоочередном благоустройстве. Порядок проведения </w:t>
      </w:r>
      <w:r w:rsidRPr="00EB6E15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инвентаризации дворовой территории, общественной территории </w:t>
      </w:r>
      <w:r w:rsidRPr="00EB6E15">
        <w:rPr>
          <w:rFonts w:ascii="Times New Roman" w:eastAsia="Times New Roman" w:hAnsi="Times New Roman"/>
          <w:sz w:val="28"/>
          <w:szCs w:val="28"/>
        </w:rPr>
        <w:t>изложен в приложении№ 2 к Программе.</w:t>
      </w:r>
    </w:p>
    <w:p w:rsidR="006E24EC" w:rsidRPr="00B76423" w:rsidRDefault="002E2526" w:rsidP="00F670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Итоги проведения инвентаризации</w:t>
      </w:r>
      <w:r w:rsidR="00FC2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приведены в таблице №1по следу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щим показателям</w:t>
      </w:r>
    </w:p>
    <w:p w:rsidR="00F670E7" w:rsidRDefault="00F670E7" w:rsidP="007B125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2526" w:rsidRPr="00EB6E15" w:rsidRDefault="002E2526" w:rsidP="007B125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544"/>
        <w:gridCol w:w="1193"/>
        <w:gridCol w:w="1308"/>
      </w:tblGrid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населения Медведовского сельского поселения на конец года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19234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дворовых территорий многоквартирных домов, которые относятся к многоквартирным в с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ответствие с требованиями жилищного законод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Общая площадь дворовых территорий многоква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тирных домов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24 642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благоустроенных дворовых территорий в соответствие с правилами благоустройства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благоустроенных дворовых терр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в соответствие с правилами благоустройства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Общее количество жителей, проживающих в мног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квартирных домах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населения, проживающего в жилом фонде с благоустроенными дворовыми территориями и пр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ездами к дворовым территориям по отношению к общей численности населения Медведовского сел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поселения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благоустроенных дворовых территорий и пр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ездов к дворовым территориям по отношению к 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щему количеству дворовых территорий и проездов к дворовым территориям, нуждающихся в благоус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ройстве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60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площади благоустроенных дворовых террит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 и проездов к дворовым территориям по отн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шению к общей площади  дворовых территорий и проездов к дворовым территориям, нуждающихся в благоустройстве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4" w:type="dxa"/>
            <w:shd w:val="clear" w:color="auto" w:fill="auto"/>
          </w:tcPr>
          <w:p w:rsidR="002E2526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территорий общего пользования</w:t>
            </w:r>
          </w:p>
          <w:p w:rsidR="00B76423" w:rsidRPr="00EB6E15" w:rsidRDefault="00B76423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4" w:type="dxa"/>
            <w:shd w:val="clear" w:color="auto" w:fill="auto"/>
          </w:tcPr>
          <w:p w:rsidR="002E2526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территорий общего пользования</w:t>
            </w:r>
          </w:p>
          <w:p w:rsidR="00B76423" w:rsidRPr="00EB6E15" w:rsidRDefault="00B76423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218600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благоустроенных территорий общего пользования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площади благоустроенных территорий общего пользования по отношению к общей площади те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риторий общего пользования, нуждающихся в бл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гоустройстве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благоустроенных территорий общего 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пользования, приходящаяся на 1 жителя Медведо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сельского поселения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9266B" w:rsidRDefault="0089266B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Необходимо решение вопросов благоустройства имеющихся пространств для привлечения населения и создания обустроенных зон отдыха. Проведение работ по благоустройству дворовых территорий и наиболее посещаемых общ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ственных территорий создаст условия для организации полноценного досуга населения, атмосферу покоя и душевного комфорта.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</w:rPr>
        <w:t>Работы по благоустройству дворовых территорий осуществляются, исх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дя из </w:t>
      </w:r>
      <w:r w:rsidRPr="00EB6E15">
        <w:rPr>
          <w:rFonts w:ascii="Times New Roman" w:hAnsi="Times New Roman"/>
          <w:sz w:val="28"/>
          <w:szCs w:val="28"/>
          <w:lang w:eastAsia="ru-RU"/>
        </w:rPr>
        <w:t>минимального и дополнительного перечней работ.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Минимальный перечень включает: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1) ремонт дворовых проездов;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2) обеспечение освещения дворовых территорий;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3) установка, замена скамеек, урн для мусора, инвентаря на детских игр</w:t>
      </w:r>
      <w:r w:rsidRPr="00EB6E15">
        <w:rPr>
          <w:rFonts w:ascii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hAnsi="Times New Roman"/>
          <w:sz w:val="28"/>
          <w:szCs w:val="28"/>
          <w:lang w:eastAsia="ru-RU"/>
        </w:rPr>
        <w:t>вых площадках;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В рамках минимального перечня работ по благоустройству дворовых территорий требуется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которое выполняется в форме однодневного субботника по уборке дворовой территории.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>Проведение однодневного субботника по уборке дворовой территории оформляется уполномоченным лицом, которое вправе действовать в интересах всех собственников помещений в указанном многоквартирном доме соответствующим актом, который подлежит согласованию с представителем управляющей компании.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Дополнительный перечень работ по благоустройству дворовых террито</w:t>
      </w:r>
      <w:r w:rsidRPr="00EB6E15">
        <w:rPr>
          <w:rFonts w:ascii="Times New Roman" w:hAnsi="Times New Roman"/>
          <w:sz w:val="28"/>
          <w:szCs w:val="28"/>
          <w:lang w:eastAsia="ru-RU"/>
        </w:rPr>
        <w:softHyphen/>
        <w:t>рий включает в себя: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1) оборудование детских и (или) спортивных площадок; устройство, обо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softHyphen/>
        <w:t>рудование автомобильных парковок; высадка зеленых насаждений в виде де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softHyphen/>
        <w:t>ревьев и многолетних кустарников;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2) устройство, реконструкция, ремонт тротуаров; разработка смет, д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зайн-проектов;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3) иные виды работ, определенные муниципальной программой.</w:t>
      </w:r>
    </w:p>
    <w:p w:rsidR="002E2526" w:rsidRPr="00EB6E15" w:rsidRDefault="002E2526" w:rsidP="00CF476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Выполнение работ из дополнительного перечня может осуществляться только при условии выполнения всех видов работ из минимального перечня.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В рамках дополнительного перечня работ по благоустройству дворовых территорий требуется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которое выполняется в форме однодневного субботника по уборке дворовой территории.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Проведение однодневного субботника по уборке дворовой территории оформляется уполномоченным лицом, которое вправе действовать в интересах </w:t>
      </w:r>
      <w:r w:rsidRPr="00EB6E1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всех собственников помещений в указанном многоквартирном доме соответствующим актом, который подлежит согласованию с представителем управляющей компании.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Проведение мероприятий по благоустройству дворовых территорий многоквартирных домов, расположенных на территории Медведовского сельского поселения, а также территорий общего пользования Медведовского сельского поселения,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инвалидов, и других маломобильных групп населения.</w:t>
      </w:r>
    </w:p>
    <w:p w:rsidR="002E2526" w:rsidRPr="00EB6E15" w:rsidRDefault="002E2526" w:rsidP="00CF47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Включение предложений заинтересованных лиц о включении территории 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щего пользования </w:t>
      </w:r>
      <w:r w:rsidRPr="00EB6E15">
        <w:rPr>
          <w:rFonts w:ascii="Times New Roman" w:hAnsi="Times New Roman"/>
          <w:sz w:val="28"/>
          <w:szCs w:val="28"/>
        </w:rPr>
        <w:t>и дворовой территории многоквартирного дома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 Про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softHyphen/>
        <w:t>грамму осуществляется путем реализации следующих этапов: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1)комиссионное рассмотрение и оценка предложений граждан, организ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ций на включение в адресный перечень территорий общего пользования </w:t>
      </w:r>
      <w:r w:rsidRPr="00EB6E15">
        <w:rPr>
          <w:rFonts w:ascii="Times New Roman" w:hAnsi="Times New Roman"/>
          <w:sz w:val="28"/>
          <w:szCs w:val="28"/>
        </w:rPr>
        <w:t>и дв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ровой территории многоквартирного домаМедведовског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 сельского поселения Тимашевского района, на которых планируется благоустройство.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EB6E15">
        <w:rPr>
          <w:rFonts w:ascii="Times New Roman" w:hAnsi="Times New Roman"/>
          <w:sz w:val="28"/>
          <w:szCs w:val="28"/>
        </w:rPr>
        <w:t>разработка паспорта благоустройства общественной территории и двор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вой территории многоквартирного домас указанием основных характеристик территории (назначение, адрес, кадастровые номера (кварталы) земельных уча</w:t>
      </w:r>
      <w:r w:rsidRPr="00EB6E15">
        <w:rPr>
          <w:rFonts w:ascii="Times New Roman" w:hAnsi="Times New Roman"/>
          <w:sz w:val="28"/>
          <w:szCs w:val="28"/>
        </w:rPr>
        <w:softHyphen/>
        <w:t>стков, площадь, характеристика имеющихся элементов благоустройства на м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мент проведения инвентаризации и пр.).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Координатор Программы вправе исключить из адресного перечня двор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вых и общественных территорий, подлежащих благоустройству в рамках ре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лизации Программы, территории, расположенные вблизи многоквартирных д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ветствии с генеральным планом поселения при условии одобрения решения об исключении указанных территорий из адресного перечня дворовых и общес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венных территорий межведомственной комиссией в порядке, установленном такой комиссией.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Координатор Программы вправе исключить из адресного перечня двор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вых территорий, подлежащих благоустройству в рамках реализации Програ</w:t>
      </w:r>
      <w:r w:rsidRPr="00EB6E15">
        <w:rPr>
          <w:rFonts w:ascii="Times New Roman" w:hAnsi="Times New Roman"/>
          <w:sz w:val="28"/>
          <w:szCs w:val="28"/>
        </w:rPr>
        <w:t>м</w:t>
      </w:r>
      <w:r w:rsidRPr="00EB6E15">
        <w:rPr>
          <w:rFonts w:ascii="Times New Roman" w:hAnsi="Times New Roman"/>
          <w:sz w:val="28"/>
          <w:szCs w:val="28"/>
        </w:rPr>
        <w:t>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Исключение из а</w:t>
      </w:r>
      <w:r w:rsidRPr="00EB6E15">
        <w:rPr>
          <w:rFonts w:ascii="Times New Roman" w:hAnsi="Times New Roman"/>
          <w:sz w:val="28"/>
          <w:szCs w:val="28"/>
        </w:rPr>
        <w:t>д</w:t>
      </w:r>
      <w:r w:rsidRPr="00EB6E15">
        <w:rPr>
          <w:rFonts w:ascii="Times New Roman" w:hAnsi="Times New Roman"/>
          <w:sz w:val="28"/>
          <w:szCs w:val="28"/>
        </w:rPr>
        <w:t>ресного перечня дворовых территорий, подлежащих благоустройству в рамках реализации Программы, производится при условии одобрения решения об и</w:t>
      </w:r>
      <w:r w:rsidRPr="00EB6E15">
        <w:rPr>
          <w:rFonts w:ascii="Times New Roman" w:hAnsi="Times New Roman"/>
          <w:sz w:val="28"/>
          <w:szCs w:val="28"/>
        </w:rPr>
        <w:t>с</w:t>
      </w:r>
      <w:r w:rsidRPr="00EB6E15">
        <w:rPr>
          <w:rFonts w:ascii="Times New Roman" w:hAnsi="Times New Roman"/>
          <w:sz w:val="28"/>
          <w:szCs w:val="28"/>
        </w:rPr>
        <w:t>ключении указанных территорий из адресного перечня дворовых межведомс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венной комиссией в порядке, установленном такой комиссией.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B6E15">
        <w:rPr>
          <w:rFonts w:ascii="Times New Roman" w:eastAsia="Times New Roman" w:hAnsi="Times New Roman"/>
          <w:bCs/>
          <w:sz w:val="28"/>
          <w:szCs w:val="28"/>
        </w:rPr>
        <w:t>Рекомендуемая стоимость (единичные расценки) работ по благоустройству дворовых территорий, входящих в состав минимального и дополнительного п</w:t>
      </w:r>
      <w:r w:rsidRPr="00EB6E15">
        <w:rPr>
          <w:rFonts w:ascii="Times New Roman" w:eastAsia="Times New Roman" w:hAnsi="Times New Roman"/>
          <w:bCs/>
          <w:sz w:val="28"/>
          <w:szCs w:val="28"/>
        </w:rPr>
        <w:t>е</w:t>
      </w:r>
      <w:r w:rsidRPr="00EB6E15">
        <w:rPr>
          <w:rFonts w:ascii="Times New Roman" w:eastAsia="Times New Roman" w:hAnsi="Times New Roman"/>
          <w:bCs/>
          <w:sz w:val="28"/>
          <w:szCs w:val="28"/>
        </w:rPr>
        <w:t>речней таких работ приведены в приложении № 6 к Программе.</w:t>
      </w:r>
    </w:p>
    <w:p w:rsidR="002E2526" w:rsidRPr="00EB6E15" w:rsidRDefault="002E2526" w:rsidP="00CF4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Применение программного метода позволит поэтапно осуществлять ко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плексное благоустройство территорий общего пользования с учетом мнения граждан, а именно: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повысит уровень планирования и реализации мероприятий по благоус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ройству (сделает их современными, эффективными, оптимальными, открыт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ми, востребованными гражданами);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запустит реализацию механизма поддержки мероприятий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ству, инициированных гражданами;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запустит механизм финансового и трудового участия граждан и организ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ций в реализации мероприятий по благоустройству;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сформирует инструменты общественного контроля за реализацией мер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приятий по благоустройству на территории Медведовского сельского посел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Таким образом, комплексный подход к реализации мероприятий по благ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устройству, отвечающих современным требованиям, позволит создать совр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менную городскую комфортную среду для проживания граждан и пребывания отдыхающих.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153FC" w:rsidRPr="00EB6E15" w:rsidRDefault="002E2526" w:rsidP="00F8659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hAnsi="Times New Roman"/>
          <w:b/>
          <w:sz w:val="28"/>
          <w:szCs w:val="28"/>
        </w:rPr>
        <w:t xml:space="preserve">2. </w:t>
      </w:r>
      <w:r w:rsidRPr="00EB6E15">
        <w:rPr>
          <w:rFonts w:ascii="Times New Roman" w:hAnsi="Times New Roman"/>
          <w:b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EB6E15" w:rsidRDefault="002E2526" w:rsidP="00F8659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этапы реализации </w:t>
      </w:r>
      <w:r w:rsidRPr="00EB6E15">
        <w:rPr>
          <w:rFonts w:ascii="Times New Roman" w:hAnsi="Times New Roman"/>
          <w:b/>
          <w:sz w:val="28"/>
          <w:szCs w:val="28"/>
        </w:rPr>
        <w:t>муниципальной</w:t>
      </w:r>
      <w:r w:rsidR="00FE42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Целью данной Программы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мероприятий Программы (в период 2020-2024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2024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Задачи Программы: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1) создание благоприятных условий для проживания и отдыха населения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2) повышение уровня благоустройства дворовых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3) повышение уровня благоустройства территорий общего пользования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4) повышение уровня вовлеченности заинтересованных граждан, орган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заций в реализацию мероприятий по благоустройству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района.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Программы: 2020 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годы</w:t>
      </w:r>
    </w:p>
    <w:p w:rsidR="00FE428D" w:rsidRDefault="002E2526" w:rsidP="00FE4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Целевые показатели муниципальной программы с расшифровкойплановых зн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чений по годам ее реализации</w:t>
      </w:r>
      <w:r w:rsidR="002B705A">
        <w:rPr>
          <w:rFonts w:ascii="Times New Roman" w:hAnsi="Times New Roman"/>
          <w:sz w:val="28"/>
          <w:szCs w:val="28"/>
        </w:rPr>
        <w:t>:</w:t>
      </w:r>
    </w:p>
    <w:p w:rsidR="002E2526" w:rsidRPr="00FE428D" w:rsidRDefault="002E2526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  <w:u w:val="single"/>
        </w:rPr>
        <w:t>Таблица №2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119"/>
        <w:gridCol w:w="850"/>
        <w:gridCol w:w="992"/>
        <w:gridCol w:w="993"/>
        <w:gridCol w:w="992"/>
        <w:gridCol w:w="992"/>
        <w:gridCol w:w="992"/>
      </w:tblGrid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Наименование показ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020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2021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 год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2526" w:rsidRPr="00EB6E15" w:rsidTr="00B51963">
        <w:trPr>
          <w:trHeight w:val="2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</w:rPr>
              <w:t>«Формирование современной городской среды» на 2020-2024 годы»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№1 «Благоустройство дворовых </w:t>
            </w:r>
            <w:r w:rsidR="0089266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района»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Доля благоустроенных дворовых территорий многоквартирных 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мов от общего колич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ства дворовых террит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рий многоквартирных домов</w:t>
            </w:r>
          </w:p>
          <w:p w:rsidR="00733CA7" w:rsidRPr="00EB6E15" w:rsidRDefault="00733CA7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F54D39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FC21FB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</w:tr>
      <w:tr w:rsidR="002E2526" w:rsidRPr="00EB6E15" w:rsidTr="00B51963">
        <w:trPr>
          <w:trHeight w:val="9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Количество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роенных дворовых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многокварти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F54D39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FC21FB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2 «Благоустройство территорий общего пол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зования Медведовского сельского поселения Тимашевского района»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Доля благоустроенных общественных террит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рий от общего колич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ства общественных территорий поселения</w:t>
            </w:r>
          </w:p>
          <w:p w:rsidR="00733CA7" w:rsidRPr="00EB6E15" w:rsidRDefault="00733CA7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64679C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Подготовка проектно-сметной документации</w:t>
            </w:r>
          </w:p>
          <w:p w:rsidR="00733CA7" w:rsidRPr="00EB6E15" w:rsidRDefault="00733CA7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FC21FB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526" w:rsidRPr="00EB6E15" w:rsidTr="00B51963">
        <w:trPr>
          <w:trHeight w:val="1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Количество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роенных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64679C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A7532" w:rsidRPr="00EB6E15" w:rsidTr="00B51963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2" w:rsidRPr="00EB6E15" w:rsidRDefault="00DA7532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32" w:rsidRPr="00EB6E15" w:rsidRDefault="00DA7532" w:rsidP="00706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«</w:t>
            </w:r>
            <w:r w:rsidR="00706AFD"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парка по ул.Ленина, ст. Медведовской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A7532" w:rsidRPr="00EB6E15" w:rsidTr="00B51963">
        <w:trPr>
          <w:trHeight w:val="2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2" w:rsidRDefault="00DA7532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32" w:rsidRPr="00EB6E15" w:rsidRDefault="00706AFD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32" w:rsidRPr="00EB6E15" w:rsidRDefault="00DA7532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32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32" w:rsidRPr="00EB6E15" w:rsidRDefault="00FC21FB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32" w:rsidRPr="00EB6E15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2" w:rsidRPr="00EB6E15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32" w:rsidRPr="00EB6E15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670E7" w:rsidRDefault="00F670E7" w:rsidP="00F865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EB6E15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3.Перечень и краткое описание подпрограмм,</w:t>
      </w:r>
    </w:p>
    <w:p w:rsidR="00C153FC" w:rsidRPr="00EB6E15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EB6E15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EB6E1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мероприятиймуниципальной программы</w:t>
      </w:r>
    </w:p>
    <w:p w:rsidR="002E2526" w:rsidRPr="00EB6E15" w:rsidRDefault="002E2526" w:rsidP="00CF47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2E2526" w:rsidRPr="00EB6E15" w:rsidRDefault="002E2526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 w:cs="Times New Roman"/>
          <w:sz w:val="28"/>
          <w:szCs w:val="28"/>
        </w:rPr>
        <w:lastRenderedPageBreak/>
        <w:t>Подпрограммы, ведомственные целевые программы в составе муниц</w:t>
      </w:r>
      <w:r w:rsidRPr="00EB6E15">
        <w:rPr>
          <w:rFonts w:ascii="Times New Roman" w:hAnsi="Times New Roman" w:cs="Times New Roman"/>
          <w:sz w:val="28"/>
          <w:szCs w:val="28"/>
        </w:rPr>
        <w:t>и</w:t>
      </w:r>
      <w:r w:rsidRPr="00EB6E15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2E2526" w:rsidRPr="00EB6E15" w:rsidRDefault="002E2526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 w:cs="Times New Roman"/>
          <w:sz w:val="28"/>
          <w:szCs w:val="28"/>
        </w:rPr>
        <w:t>Муниципальная программа включает два основных мероприятия: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</w:rPr>
        <w:t>Основное мероприятие №1 «Благоустройство дворовых территорий Ме</w:t>
      </w:r>
      <w:r w:rsidRPr="00EB6E15">
        <w:rPr>
          <w:rFonts w:ascii="Times New Roman" w:hAnsi="Times New Roman"/>
          <w:sz w:val="28"/>
          <w:szCs w:val="28"/>
        </w:rPr>
        <w:t>д</w:t>
      </w:r>
      <w:r w:rsidRPr="00EB6E15">
        <w:rPr>
          <w:rFonts w:ascii="Times New Roman" w:hAnsi="Times New Roman"/>
          <w:sz w:val="28"/>
          <w:szCs w:val="28"/>
        </w:rPr>
        <w:t>ведовского сельского поселения Тимашевского района» включает в себя пров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 xml:space="preserve">дение работ, </w:t>
      </w:r>
      <w:r w:rsidRPr="00EB6E15">
        <w:rPr>
          <w:rFonts w:ascii="Times New Roman" w:hAnsi="Times New Roman"/>
          <w:sz w:val="28"/>
          <w:szCs w:val="28"/>
          <w:lang w:eastAsia="ru-RU"/>
        </w:rPr>
        <w:t>в соответствии с минимальным и дополнительным перечнями р</w:t>
      </w:r>
      <w:r w:rsidRPr="00EB6E15">
        <w:rPr>
          <w:rFonts w:ascii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hAnsi="Times New Roman"/>
          <w:sz w:val="28"/>
          <w:szCs w:val="28"/>
          <w:lang w:eastAsia="ru-RU"/>
        </w:rPr>
        <w:t>бот по благоустройству дворовых территорий.</w:t>
      </w: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с указанием объемов финансирования по годам реализации приводится в приложении № 1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Адресный перечень дворовых территорий, нуждающихся в благоустро</w:t>
      </w:r>
      <w:r w:rsidRPr="00EB6E15">
        <w:rPr>
          <w:rFonts w:ascii="Times New Roman" w:hAnsi="Times New Roman"/>
          <w:sz w:val="28"/>
          <w:szCs w:val="28"/>
        </w:rPr>
        <w:t>й</w:t>
      </w:r>
      <w:r w:rsidRPr="00EB6E15">
        <w:rPr>
          <w:rFonts w:ascii="Times New Roman" w:hAnsi="Times New Roman"/>
          <w:sz w:val="28"/>
          <w:szCs w:val="28"/>
        </w:rPr>
        <w:t>стве (с учетом их физического состояния) и подлежащих благоустройству в п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риод до 2024 года, исходя из минимального перечня работ по благоустройству приводится в приложении № 3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Мероприятия по проведению работ по образованию земельных участков, прилегающих к многоквартирным домам, и которые подлежат благоустройству в рамках Программы, планируется завершить до конца 2020 года. Ответстве</w:t>
      </w:r>
      <w:r w:rsidRPr="00EB6E15">
        <w:rPr>
          <w:rFonts w:ascii="Times New Roman" w:hAnsi="Times New Roman"/>
          <w:sz w:val="28"/>
          <w:szCs w:val="28"/>
        </w:rPr>
        <w:t>н</w:t>
      </w:r>
      <w:r w:rsidRPr="00EB6E15">
        <w:rPr>
          <w:rFonts w:ascii="Times New Roman" w:hAnsi="Times New Roman"/>
          <w:sz w:val="28"/>
          <w:szCs w:val="28"/>
        </w:rPr>
        <w:t>ным за данное мероприятие является администрация Медведовского сельского поселения.</w:t>
      </w:r>
    </w:p>
    <w:p w:rsidR="002E2526" w:rsidRPr="00EB6E15" w:rsidRDefault="002E2526" w:rsidP="00CF476B">
      <w:pPr>
        <w:pStyle w:val="Default"/>
        <w:ind w:firstLine="709"/>
        <w:jc w:val="both"/>
        <w:rPr>
          <w:b/>
          <w:sz w:val="28"/>
          <w:szCs w:val="28"/>
        </w:rPr>
      </w:pPr>
      <w:r w:rsidRPr="00EB6E15">
        <w:rPr>
          <w:sz w:val="28"/>
          <w:szCs w:val="28"/>
        </w:rPr>
        <w:t>Основное мероприятие № 2 «Благоустройство территорий общего пол</w:t>
      </w:r>
      <w:r w:rsidRPr="00EB6E15">
        <w:rPr>
          <w:sz w:val="28"/>
          <w:szCs w:val="28"/>
        </w:rPr>
        <w:t>ь</w:t>
      </w:r>
      <w:r w:rsidRPr="00EB6E15">
        <w:rPr>
          <w:sz w:val="28"/>
          <w:szCs w:val="28"/>
        </w:rPr>
        <w:t>зования Медведовского сельского поселения Тимашевского района».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 xml:space="preserve">Данное мероприятие предусматривает благоустройство общественных территорий </w:t>
      </w:r>
      <w:r w:rsidRPr="00EB6E15">
        <w:rPr>
          <w:rFonts w:ascii="Times New Roman" w:hAnsi="Times New Roman"/>
          <w:sz w:val="28"/>
          <w:szCs w:val="28"/>
        </w:rPr>
        <w:t>Медведовского</w:t>
      </w:r>
      <w:r w:rsidRPr="00EB6E1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Тимашевского района в соо</w:t>
      </w:r>
      <w:r w:rsidRPr="00EB6E15">
        <w:rPr>
          <w:rFonts w:ascii="Times New Roman" w:hAnsi="Times New Roman"/>
          <w:sz w:val="28"/>
          <w:szCs w:val="28"/>
          <w:lang w:eastAsia="ru-RU"/>
        </w:rPr>
        <w:t>т</w:t>
      </w:r>
      <w:r w:rsidRPr="00EB6E15">
        <w:rPr>
          <w:rFonts w:ascii="Times New Roman" w:hAnsi="Times New Roman"/>
          <w:sz w:val="28"/>
          <w:szCs w:val="28"/>
          <w:lang w:eastAsia="ru-RU"/>
        </w:rPr>
        <w:t>ветствии с минимальным и дополнительным перечнями работ по благоустро</w:t>
      </w:r>
      <w:r w:rsidRPr="00EB6E15">
        <w:rPr>
          <w:rFonts w:ascii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hAnsi="Times New Roman"/>
          <w:sz w:val="28"/>
          <w:szCs w:val="28"/>
          <w:lang w:eastAsia="ru-RU"/>
        </w:rPr>
        <w:t>ству общественных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Адресный перечень общественных территорий, нуждающихся в благоу</w:t>
      </w:r>
      <w:r w:rsidRPr="00EB6E15">
        <w:rPr>
          <w:rFonts w:ascii="Times New Roman" w:hAnsi="Times New Roman"/>
          <w:sz w:val="28"/>
          <w:szCs w:val="28"/>
        </w:rPr>
        <w:t>с</w:t>
      </w:r>
      <w:r w:rsidRPr="00EB6E15">
        <w:rPr>
          <w:rFonts w:ascii="Times New Roman" w:hAnsi="Times New Roman"/>
          <w:sz w:val="28"/>
          <w:szCs w:val="28"/>
        </w:rPr>
        <w:t>тройстве (с учетом их физического состояния) и подлежащих благоустройству в период до 2024 года приводится в приложении № 4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венности (пользовании) юридических лиц и индивидуальных предпринимат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ниями привил благоустройства территории, утвержденными нормативным а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том администрации поселения, приводится в приложении № 5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Мероприятия по инвентаризации уровня благоустройства территорий и</w:t>
      </w:r>
      <w:r w:rsidRPr="00EB6E15">
        <w:rPr>
          <w:rFonts w:ascii="Times New Roman" w:hAnsi="Times New Roman"/>
          <w:sz w:val="28"/>
          <w:szCs w:val="28"/>
        </w:rPr>
        <w:t>н</w:t>
      </w:r>
      <w:r w:rsidRPr="00EB6E15">
        <w:rPr>
          <w:rFonts w:ascii="Times New Roman" w:hAnsi="Times New Roman"/>
          <w:sz w:val="28"/>
          <w:szCs w:val="28"/>
        </w:rPr>
        <w:t>дивидуальных жилых домов и земельных участков, предоставленных для их размещения, с заключением по результатам инвентаризации соглашений с со</w:t>
      </w:r>
      <w:r w:rsidRPr="00EB6E15">
        <w:rPr>
          <w:rFonts w:ascii="Times New Roman" w:hAnsi="Times New Roman"/>
          <w:sz w:val="28"/>
          <w:szCs w:val="28"/>
        </w:rPr>
        <w:t>б</w:t>
      </w:r>
      <w:r w:rsidRPr="00EB6E15">
        <w:rPr>
          <w:rFonts w:ascii="Times New Roman" w:hAnsi="Times New Roman"/>
          <w:sz w:val="28"/>
          <w:szCs w:val="28"/>
        </w:rPr>
        <w:t>ственниками (пользователями) указанных домов (собственниками (пользоват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лями) земельных участков) об их благоустройстве не позднее последнего года реализации федерального проекта за счет средств указанных лиц в соответс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вии с требованиями привил благоустройства территории, утвержденными а</w:t>
      </w:r>
      <w:r w:rsidRPr="00EB6E15">
        <w:rPr>
          <w:rFonts w:ascii="Times New Roman" w:hAnsi="Times New Roman"/>
          <w:sz w:val="28"/>
          <w:szCs w:val="28"/>
        </w:rPr>
        <w:t>д</w:t>
      </w:r>
      <w:r w:rsidRPr="00EB6E15">
        <w:rPr>
          <w:rFonts w:ascii="Times New Roman" w:hAnsi="Times New Roman"/>
          <w:sz w:val="28"/>
          <w:szCs w:val="28"/>
        </w:rPr>
        <w:t>министрацией поселения изложены в приложении №7 к Программе.</w:t>
      </w:r>
    </w:p>
    <w:p w:rsidR="00D77EF5" w:rsidRDefault="002E2526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Предельная дата заключения соглашений по результатам закупки тов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ров, работ и услуг для обеспечения муниципальных нужд в целях реализации муниципальной программы не позднее 1 мая года предоставления субсидии из краевого бюджета местному бюджету в целях благоустройства дворовых те</w:t>
      </w:r>
      <w:r w:rsidRPr="00EB6E15">
        <w:rPr>
          <w:rFonts w:ascii="Times New Roman" w:hAnsi="Times New Roman"/>
          <w:sz w:val="28"/>
          <w:szCs w:val="28"/>
        </w:rPr>
        <w:t>р</w:t>
      </w:r>
      <w:r w:rsidRPr="00EB6E15">
        <w:rPr>
          <w:rFonts w:ascii="Times New Roman" w:hAnsi="Times New Roman"/>
          <w:sz w:val="28"/>
          <w:szCs w:val="28"/>
        </w:rPr>
        <w:lastRenderedPageBreak/>
        <w:t>риторий и не позднее 1 июля в целях благоустройства общественных террит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ключения таких соглашений продлевается на срок указанного обжалования.</w:t>
      </w:r>
    </w:p>
    <w:p w:rsidR="00B51963" w:rsidRPr="00B51963" w:rsidRDefault="00B51963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FC" w:rsidRPr="00EB6E15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2E2526" w:rsidRPr="00EB6E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EB6E15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2E2526" w:rsidRPr="00EB6E15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628" w:rsidRPr="00B76423" w:rsidRDefault="002E2526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планируется осуществлять за счет средств федерального, краевого и местного бюджетов. Объем финансовых ресурсов, предусмотренных на реализацию муниципальной программы представлен в Таблице №2.</w:t>
      </w: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2E2526" w:rsidRPr="00EB6E15" w:rsidRDefault="002E2526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3"/>
        <w:gridCol w:w="1417"/>
        <w:gridCol w:w="1276"/>
        <w:gridCol w:w="1276"/>
        <w:gridCol w:w="958"/>
        <w:gridCol w:w="1134"/>
        <w:gridCol w:w="1134"/>
      </w:tblGrid>
      <w:tr w:rsidR="00656309" w:rsidRPr="00EB6E15" w:rsidTr="00F670E7">
        <w:trPr>
          <w:trHeight w:val="554"/>
        </w:trPr>
        <w:tc>
          <w:tcPr>
            <w:tcW w:w="709" w:type="dxa"/>
            <w:vMerge w:val="restart"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56309" w:rsidRPr="00EB6E15" w:rsidRDefault="0065630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ние мер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приятия</w:t>
            </w:r>
          </w:p>
        </w:tc>
        <w:tc>
          <w:tcPr>
            <w:tcW w:w="1417" w:type="dxa"/>
            <w:vMerge w:val="restart"/>
          </w:tcPr>
          <w:p w:rsidR="00656309" w:rsidRPr="00EB6E15" w:rsidRDefault="0065630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 финанс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рования, всего</w:t>
            </w:r>
          </w:p>
        </w:tc>
        <w:tc>
          <w:tcPr>
            <w:tcW w:w="5778" w:type="dxa"/>
            <w:gridSpan w:val="5"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 финансирования по годам</w:t>
            </w:r>
          </w:p>
        </w:tc>
      </w:tr>
      <w:tr w:rsidR="00656309" w:rsidRPr="00EB6E15" w:rsidTr="00F670E7">
        <w:trPr>
          <w:trHeight w:val="993"/>
        </w:trPr>
        <w:tc>
          <w:tcPr>
            <w:tcW w:w="709" w:type="dxa"/>
            <w:vMerge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</w:tcPr>
          <w:p w:rsidR="00656309" w:rsidRPr="00EB6E15" w:rsidRDefault="0065630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vMerge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58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E2526" w:rsidRPr="00EB6E15" w:rsidTr="00F670E7">
        <w:tc>
          <w:tcPr>
            <w:tcW w:w="709" w:type="dxa"/>
            <w:vAlign w:val="center"/>
          </w:tcPr>
          <w:p w:rsidR="002E2526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43" w:type="dxa"/>
          </w:tcPr>
          <w:p w:rsidR="002A3D48" w:rsidRPr="00EB6E15" w:rsidRDefault="002E2526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Благоустро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рийМедв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поселения Тимашевск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FC21FB" w:rsidP="00F65E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F65E79" w:rsidP="00F65E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FC21FB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2E2526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2E2526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2E2526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526" w:rsidRPr="00EB6E15" w:rsidTr="00F670E7">
        <w:tc>
          <w:tcPr>
            <w:tcW w:w="709" w:type="dxa"/>
            <w:vAlign w:val="center"/>
          </w:tcPr>
          <w:p w:rsidR="002E2526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43" w:type="dxa"/>
          </w:tcPr>
          <w:p w:rsidR="002A3D48" w:rsidRPr="00EB6E15" w:rsidRDefault="002E2526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Благоустро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ство терр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торий общ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 пользов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ния Медв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поселения Тимашевск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DA7769" w:rsidP="009244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244B8">
              <w:rPr>
                <w:rFonts w:ascii="Times New Roman" w:hAnsi="Times New Roman"/>
                <w:sz w:val="28"/>
                <w:szCs w:val="28"/>
              </w:rPr>
              <w:t>31847,5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DA7532" w:rsidP="005E56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9244B8" w:rsidP="00DA7769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27871,4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E714D3" w:rsidRPr="00EB6E15" w:rsidTr="00F670E7">
        <w:tc>
          <w:tcPr>
            <w:tcW w:w="709" w:type="dxa"/>
            <w:vAlign w:val="center"/>
          </w:tcPr>
          <w:p w:rsidR="00E714D3" w:rsidRPr="00EB6E15" w:rsidRDefault="00490A8A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1843" w:type="dxa"/>
          </w:tcPr>
          <w:p w:rsidR="00E714D3" w:rsidRPr="00EB6E15" w:rsidRDefault="00490A8A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рукции парка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ул.Пушкина, 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3" w:rsidRDefault="00E714D3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Default="00DA753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Default="00490A8A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Pr="00EB6E15" w:rsidRDefault="00490A8A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Pr="00EB6E15" w:rsidRDefault="00490A8A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Pr="00EB6E15" w:rsidRDefault="00490A8A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D4A66" w:rsidRPr="00EB6E15" w:rsidTr="00F670E7">
        <w:trPr>
          <w:trHeight w:val="2274"/>
        </w:trPr>
        <w:tc>
          <w:tcPr>
            <w:tcW w:w="709" w:type="dxa"/>
            <w:vAlign w:val="center"/>
          </w:tcPr>
          <w:p w:rsidR="00AD4A66" w:rsidRDefault="00AD4A6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2.2</w:t>
            </w:r>
          </w:p>
        </w:tc>
        <w:tc>
          <w:tcPr>
            <w:tcW w:w="1843" w:type="dxa"/>
          </w:tcPr>
          <w:p w:rsidR="00AD4A66" w:rsidRDefault="00F65E7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27871,4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4B8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</w:tr>
      <w:tr w:rsidR="00DA7532" w:rsidRPr="00EB6E15" w:rsidTr="00F670E7">
        <w:trPr>
          <w:trHeight w:val="2274"/>
        </w:trPr>
        <w:tc>
          <w:tcPr>
            <w:tcW w:w="709" w:type="dxa"/>
            <w:vAlign w:val="center"/>
          </w:tcPr>
          <w:p w:rsidR="00DA7532" w:rsidRDefault="00DA7532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43" w:type="dxa"/>
          </w:tcPr>
          <w:p w:rsidR="00DA7532" w:rsidRDefault="00491F14" w:rsidP="00DA753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ул.Ленина, 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32" w:rsidRDefault="00DA7769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532" w:rsidRDefault="00DA753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532" w:rsidRDefault="00DA7769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532" w:rsidRDefault="00DA753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532" w:rsidRDefault="00DA753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532" w:rsidRDefault="00DA753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1F14" w:rsidRPr="00EB6E15" w:rsidTr="00F670E7">
        <w:trPr>
          <w:trHeight w:val="2274"/>
        </w:trPr>
        <w:tc>
          <w:tcPr>
            <w:tcW w:w="709" w:type="dxa"/>
            <w:vAlign w:val="center"/>
          </w:tcPr>
          <w:p w:rsidR="00491F14" w:rsidRDefault="00491F14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1843" w:type="dxa"/>
          </w:tcPr>
          <w:p w:rsidR="00491F14" w:rsidRDefault="00491F14" w:rsidP="00491F14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-сметной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491F14" w:rsidRDefault="00491F14" w:rsidP="00491F1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ул.Ленина, 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14" w:rsidRDefault="003C742E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3C742E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526" w:rsidRPr="00EB6E15" w:rsidTr="00F670E7">
        <w:trPr>
          <w:trHeight w:val="499"/>
        </w:trPr>
        <w:tc>
          <w:tcPr>
            <w:tcW w:w="709" w:type="dxa"/>
            <w:vAlign w:val="center"/>
          </w:tcPr>
          <w:p w:rsidR="002E2526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271E07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2526" w:rsidRPr="00EB6E15" w:rsidRDefault="009244B8" w:rsidP="00706AF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526" w:rsidRPr="00EB6E15" w:rsidRDefault="001D1C1A" w:rsidP="00F65E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4709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9244B8" w:rsidP="00706AF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28223,4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</w:tbl>
    <w:p w:rsidR="001325E2" w:rsidRDefault="001325E2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3C2" w:rsidRPr="00EB6E15" w:rsidRDefault="002A3D48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 xml:space="preserve">5. </w:t>
      </w:r>
      <w:r w:rsidR="002E2526" w:rsidRPr="00EB6E15">
        <w:rPr>
          <w:rFonts w:ascii="Times New Roman" w:hAnsi="Times New Roman"/>
          <w:b/>
          <w:sz w:val="28"/>
          <w:szCs w:val="28"/>
        </w:rPr>
        <w:t>Прогноз сводных показателей муниципальных</w:t>
      </w:r>
    </w:p>
    <w:p w:rsidR="00656309" w:rsidRPr="00EB6E15" w:rsidRDefault="002E2526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заданий на оказание муниципальных услуг</w:t>
      </w:r>
    </w:p>
    <w:p w:rsidR="003B7020" w:rsidRPr="00EB6E15" w:rsidRDefault="002E2526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(выполнение работ) муниципальными учреждениями</w:t>
      </w:r>
    </w:p>
    <w:p w:rsidR="003B7020" w:rsidRPr="00EB6E15" w:rsidRDefault="003B7020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 xml:space="preserve">в </w:t>
      </w:r>
      <w:r w:rsidR="002E2526" w:rsidRPr="00EB6E15">
        <w:rPr>
          <w:rFonts w:ascii="Times New Roman" w:hAnsi="Times New Roman"/>
          <w:b/>
          <w:sz w:val="28"/>
          <w:szCs w:val="28"/>
        </w:rPr>
        <w:t>сфере реализациимуниципальной программы на</w:t>
      </w:r>
    </w:p>
    <w:p w:rsidR="002E2526" w:rsidRPr="00EB6E15" w:rsidRDefault="002E2526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очереднойф</w:t>
      </w:r>
      <w:r w:rsidR="00B51963">
        <w:rPr>
          <w:rFonts w:ascii="Times New Roman" w:hAnsi="Times New Roman"/>
          <w:b/>
          <w:sz w:val="28"/>
          <w:szCs w:val="28"/>
        </w:rPr>
        <w:t>инансовый год и плановый период</w:t>
      </w:r>
    </w:p>
    <w:p w:rsidR="002E2526" w:rsidRPr="00EB6E1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Муниципальных заданий на оказание муниципальных услуг (выполнение работ) муниципальными учреждениями в составе муниципальной программы не предусмотрено.</w:t>
      </w:r>
    </w:p>
    <w:p w:rsidR="00515559" w:rsidRPr="00EB6E15" w:rsidRDefault="00515559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3C2" w:rsidRPr="00EB6E15" w:rsidRDefault="002A3D48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 xml:space="preserve">6. </w:t>
      </w:r>
      <w:r w:rsidR="002E2526" w:rsidRPr="00EB6E15">
        <w:rPr>
          <w:rFonts w:ascii="Times New Roman" w:hAnsi="Times New Roman"/>
          <w:b/>
          <w:sz w:val="28"/>
          <w:szCs w:val="28"/>
        </w:rPr>
        <w:t>Методика оценки эффективности реализации</w:t>
      </w:r>
    </w:p>
    <w:p w:rsidR="002E2526" w:rsidRPr="00EB6E15" w:rsidRDefault="002E2526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2E2526" w:rsidRPr="00EB6E15" w:rsidRDefault="002E2526" w:rsidP="00CF47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осущес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 xml:space="preserve">вляется </w:t>
      </w:r>
      <w:r w:rsidR="00EA7689">
        <w:rPr>
          <w:rFonts w:ascii="Times New Roman" w:hAnsi="Times New Roman"/>
          <w:sz w:val="28"/>
          <w:szCs w:val="28"/>
        </w:rPr>
        <w:t>ведущим</w:t>
      </w:r>
      <w:r w:rsidRPr="00EB6E15">
        <w:rPr>
          <w:rFonts w:ascii="Times New Roman" w:hAnsi="Times New Roman"/>
          <w:sz w:val="28"/>
          <w:szCs w:val="28"/>
        </w:rPr>
        <w:t xml:space="preserve"> специалистом администрации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 Тимашевского района, в соответствии с типовой методикой оценки ре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lastRenderedPageBreak/>
        <w:t>лизации муниципальных программ, изложенной в приложении №5 к Порядку принятия решения о разработке, формирования, реализации и оценки эффе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тивности реализации муниципальных программ Медведовского сельского п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селения Тимашевского района, утвержденному постановлением администрации Медведовского сельского поселения Тимашевского района от </w:t>
      </w:r>
      <w:r w:rsidR="00EA7689">
        <w:rPr>
          <w:rFonts w:ascii="Times New Roman" w:hAnsi="Times New Roman"/>
          <w:sz w:val="28"/>
          <w:szCs w:val="28"/>
        </w:rPr>
        <w:t>9</w:t>
      </w:r>
      <w:r w:rsidR="00B76423">
        <w:rPr>
          <w:rFonts w:ascii="Times New Roman" w:hAnsi="Times New Roman"/>
          <w:sz w:val="28"/>
          <w:szCs w:val="28"/>
        </w:rPr>
        <w:t xml:space="preserve"> июня 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="00B76423">
        <w:rPr>
          <w:rFonts w:ascii="Times New Roman" w:hAnsi="Times New Roman"/>
          <w:sz w:val="28"/>
          <w:szCs w:val="28"/>
        </w:rPr>
        <w:t xml:space="preserve"> г.  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, по результатам отчетного года.</w:t>
      </w:r>
    </w:p>
    <w:p w:rsidR="002E2526" w:rsidRPr="00EB6E15" w:rsidRDefault="002E2526" w:rsidP="00CF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3D48" w:rsidRPr="00EB6E15" w:rsidRDefault="002A3D48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 xml:space="preserve">7. </w:t>
      </w:r>
      <w:r w:rsidR="002E2526" w:rsidRPr="00EB6E15">
        <w:rPr>
          <w:rFonts w:ascii="Times New Roman" w:hAnsi="Times New Roman"/>
          <w:b/>
          <w:sz w:val="28"/>
          <w:szCs w:val="28"/>
        </w:rPr>
        <w:t>Механизм реализации муниципальной</w:t>
      </w:r>
    </w:p>
    <w:p w:rsidR="002E2526" w:rsidRPr="00EB6E15" w:rsidRDefault="00E10A1C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П</w:t>
      </w:r>
      <w:r w:rsidR="002E2526" w:rsidRPr="00EB6E15">
        <w:rPr>
          <w:rFonts w:ascii="Times New Roman" w:hAnsi="Times New Roman"/>
          <w:b/>
          <w:sz w:val="28"/>
          <w:szCs w:val="28"/>
        </w:rPr>
        <w:t>рограммыи контроль за ее выполнением</w:t>
      </w:r>
    </w:p>
    <w:p w:rsidR="002E2526" w:rsidRPr="00EB6E1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0A1816" w:rsidRDefault="002E2526" w:rsidP="000A181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программы осуществляет </w:t>
      </w:r>
      <w:r w:rsidR="000A1816">
        <w:rPr>
          <w:rFonts w:ascii="Times New Roman" w:hAnsi="Times New Roman"/>
          <w:sz w:val="28"/>
          <w:szCs w:val="28"/>
        </w:rPr>
        <w:t>ведущий</w:t>
      </w:r>
      <w:r w:rsidRPr="00EB6E15">
        <w:rPr>
          <w:rFonts w:ascii="Times New Roman" w:hAnsi="Times New Roman"/>
          <w:sz w:val="28"/>
          <w:szCs w:val="28"/>
        </w:rPr>
        <w:t xml:space="preserve"> специалист</w:t>
      </w:r>
      <w:r w:rsidR="000A1816">
        <w:rPr>
          <w:rFonts w:ascii="Times New Roman" w:hAnsi="Times New Roman"/>
          <w:sz w:val="28"/>
          <w:szCs w:val="28"/>
        </w:rPr>
        <w:t xml:space="preserve"> финансово – экономического отдела</w:t>
      </w:r>
      <w:r w:rsidRPr="00EB6E15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</w:t>
      </w:r>
      <w:r w:rsidR="000A1816">
        <w:rPr>
          <w:rFonts w:ascii="Times New Roman" w:hAnsi="Times New Roman"/>
          <w:sz w:val="28"/>
          <w:szCs w:val="28"/>
        </w:rPr>
        <w:t xml:space="preserve"> совместно с</w:t>
      </w:r>
      <w:r w:rsidR="000A1816">
        <w:rPr>
          <w:rFonts w:ascii="Times New Roman" w:hAnsi="Times New Roman" w:cs="Times New Roman"/>
          <w:sz w:val="28"/>
          <w:szCs w:val="28"/>
        </w:rPr>
        <w:t>МУ «Управление СТС и ЖКХ» Медведовского сельского поселения Тимашевского района.</w:t>
      </w: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Контроль за ходом реализации муниципальной программы осуществляет</w:t>
      </w:r>
      <w:r w:rsidR="00BE049E">
        <w:rPr>
          <w:rFonts w:ascii="Times New Roman" w:hAnsi="Times New Roman"/>
          <w:sz w:val="28"/>
          <w:szCs w:val="28"/>
        </w:rPr>
        <w:t xml:space="preserve"> заместитель</w:t>
      </w:r>
      <w:r w:rsidRPr="00EB6E15">
        <w:rPr>
          <w:rFonts w:ascii="Times New Roman" w:hAnsi="Times New Roman"/>
          <w:sz w:val="28"/>
          <w:szCs w:val="28"/>
        </w:rPr>
        <w:t xml:space="preserve"> глав</w:t>
      </w:r>
      <w:r w:rsidR="00BE049E">
        <w:rPr>
          <w:rFonts w:ascii="Times New Roman" w:hAnsi="Times New Roman"/>
          <w:sz w:val="28"/>
          <w:szCs w:val="28"/>
        </w:rPr>
        <w:t xml:space="preserve">ы, курирующий данное направление </w:t>
      </w:r>
      <w:r w:rsidRPr="00EB6E15">
        <w:rPr>
          <w:rFonts w:ascii="Times New Roman" w:hAnsi="Times New Roman"/>
          <w:sz w:val="28"/>
          <w:szCs w:val="28"/>
        </w:rPr>
        <w:t>в соответствии с пунктом 4 Порядка принятия решения о разработке, формирования, реализации и оценки эффективности реализации муниципальных программ Медведовского сельск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го поселения Тимашевского района, утвержденного постановлением админис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рации Медведовского сельского поселения Тимашевского района от</w:t>
      </w:r>
      <w:r w:rsidR="00EA7689">
        <w:rPr>
          <w:rFonts w:ascii="Times New Roman" w:hAnsi="Times New Roman"/>
          <w:sz w:val="28"/>
          <w:szCs w:val="28"/>
        </w:rPr>
        <w:t>9 июня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Pr="00EB6E15">
        <w:rPr>
          <w:rFonts w:ascii="Times New Roman" w:hAnsi="Times New Roman"/>
          <w:sz w:val="28"/>
          <w:szCs w:val="28"/>
        </w:rPr>
        <w:t xml:space="preserve"> г</w:t>
      </w:r>
      <w:r w:rsidR="00515559" w:rsidRPr="00EB6E15">
        <w:rPr>
          <w:rFonts w:ascii="Times New Roman" w:hAnsi="Times New Roman"/>
          <w:sz w:val="28"/>
          <w:szCs w:val="28"/>
        </w:rPr>
        <w:t>.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.</w:t>
      </w: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В случае выделения средств местному бюджету в рамках других госуда</w:t>
      </w:r>
      <w:r w:rsidRPr="00EB6E15">
        <w:rPr>
          <w:rFonts w:ascii="Times New Roman" w:hAnsi="Times New Roman"/>
          <w:sz w:val="28"/>
          <w:szCs w:val="28"/>
        </w:rPr>
        <w:t>р</w:t>
      </w:r>
      <w:r w:rsidRPr="00EB6E15">
        <w:rPr>
          <w:rFonts w:ascii="Times New Roman" w:hAnsi="Times New Roman"/>
          <w:sz w:val="28"/>
          <w:szCs w:val="28"/>
        </w:rPr>
        <w:t>ственных программ строительства (реконструкции, ремонта) объектов недв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жимого имущества, программ по ремонту и модернизации инженерных сетей, и иных объектов, расположенных на территории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ления, администрация Медведовского сельского поселения Тимашевскогора</w:t>
      </w:r>
      <w:r w:rsidRPr="00EB6E15">
        <w:rPr>
          <w:rFonts w:ascii="Times New Roman" w:hAnsi="Times New Roman"/>
          <w:sz w:val="28"/>
          <w:szCs w:val="28"/>
        </w:rPr>
        <w:t>й</w:t>
      </w:r>
      <w:r w:rsidRPr="00EB6E15">
        <w:rPr>
          <w:rFonts w:ascii="Times New Roman" w:hAnsi="Times New Roman"/>
          <w:sz w:val="28"/>
          <w:szCs w:val="28"/>
        </w:rPr>
        <w:t>она обязана обеспечить синхронизацию мероприятий, в целях исключения ду</w:t>
      </w:r>
      <w:r w:rsidRPr="00EB6E15">
        <w:rPr>
          <w:rFonts w:ascii="Times New Roman" w:hAnsi="Times New Roman"/>
          <w:sz w:val="28"/>
          <w:szCs w:val="28"/>
        </w:rPr>
        <w:t>б</w:t>
      </w:r>
      <w:r w:rsidRPr="00EB6E15">
        <w:rPr>
          <w:rFonts w:ascii="Times New Roman" w:hAnsi="Times New Roman"/>
          <w:sz w:val="28"/>
          <w:szCs w:val="28"/>
        </w:rPr>
        <w:t>лирования объектов и мероприятий, включенных в государственных програ</w:t>
      </w:r>
      <w:r w:rsidRPr="00EB6E15">
        <w:rPr>
          <w:rFonts w:ascii="Times New Roman" w:hAnsi="Times New Roman"/>
          <w:sz w:val="28"/>
          <w:szCs w:val="28"/>
        </w:rPr>
        <w:t>м</w:t>
      </w:r>
      <w:r w:rsidRPr="00EB6E15">
        <w:rPr>
          <w:rFonts w:ascii="Times New Roman" w:hAnsi="Times New Roman"/>
          <w:sz w:val="28"/>
          <w:szCs w:val="28"/>
        </w:rPr>
        <w:t>мы.Реализация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2E2526" w:rsidRPr="00EB6E15" w:rsidRDefault="002E2526" w:rsidP="00CF4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F670E7" w:rsidRDefault="002E2526" w:rsidP="00F670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:rsidR="00F670E7" w:rsidRDefault="00F670E7" w:rsidP="00F670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B705A" w:rsidRDefault="002B705A" w:rsidP="00F670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B705A" w:rsidRPr="00EB6E15" w:rsidRDefault="002B705A" w:rsidP="00F670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7090C" w:rsidRDefault="0047090C" w:rsidP="004709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главы</w:t>
      </w:r>
    </w:p>
    <w:p w:rsidR="0047090C" w:rsidRDefault="00017502" w:rsidP="004709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A72E14" w:rsidRDefault="00017502" w:rsidP="004709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Тимашевский район                       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r w:rsidR="0047090C">
        <w:rPr>
          <w:rFonts w:ascii="Times New Roman" w:eastAsia="Times New Roman" w:hAnsi="Times New Roman"/>
          <w:sz w:val="28"/>
          <w:szCs w:val="28"/>
        </w:rPr>
        <w:t>Р.С. Ермаков</w:t>
      </w:r>
    </w:p>
    <w:p w:rsidR="00A72E14" w:rsidRPr="00A72E14" w:rsidRDefault="00A72E14" w:rsidP="00A72E1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F670E7">
      <w:headerReference w:type="default" r:id="rId8"/>
      <w:pgSz w:w="11906" w:h="16838"/>
      <w:pgMar w:top="851" w:right="567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24C" w:rsidRDefault="0082324C" w:rsidP="00B60AF2">
      <w:pPr>
        <w:spacing w:after="0" w:line="240" w:lineRule="auto"/>
      </w:pPr>
      <w:r>
        <w:separator/>
      </w:r>
    </w:p>
  </w:endnote>
  <w:endnote w:type="continuationSeparator" w:id="1">
    <w:p w:rsidR="0082324C" w:rsidRDefault="0082324C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24C" w:rsidRDefault="0082324C" w:rsidP="00B60AF2">
      <w:pPr>
        <w:spacing w:after="0" w:line="240" w:lineRule="auto"/>
      </w:pPr>
      <w:r>
        <w:separator/>
      </w:r>
    </w:p>
  </w:footnote>
  <w:footnote w:type="continuationSeparator" w:id="1">
    <w:p w:rsidR="0082324C" w:rsidRDefault="0082324C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459" w:rsidRPr="00BE7A18" w:rsidRDefault="00310459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0658E9">
      <w:rPr>
        <w:rFonts w:ascii="Times New Roman" w:hAnsi="Times New Roman"/>
        <w:noProof/>
        <w:sz w:val="28"/>
        <w:szCs w:val="28"/>
      </w:rPr>
      <w:t>12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512F"/>
    <w:rsid w:val="00017502"/>
    <w:rsid w:val="00030BC1"/>
    <w:rsid w:val="000658E9"/>
    <w:rsid w:val="00086904"/>
    <w:rsid w:val="000916FE"/>
    <w:rsid w:val="000973B4"/>
    <w:rsid w:val="000A0E97"/>
    <w:rsid w:val="000A1816"/>
    <w:rsid w:val="000C3413"/>
    <w:rsid w:val="000E20CB"/>
    <w:rsid w:val="000F4398"/>
    <w:rsid w:val="00100FB5"/>
    <w:rsid w:val="001220B4"/>
    <w:rsid w:val="001325E2"/>
    <w:rsid w:val="001742FE"/>
    <w:rsid w:val="00187F0F"/>
    <w:rsid w:val="00191DDA"/>
    <w:rsid w:val="0019390D"/>
    <w:rsid w:val="001D1C1A"/>
    <w:rsid w:val="0021475A"/>
    <w:rsid w:val="00233BAC"/>
    <w:rsid w:val="00256A90"/>
    <w:rsid w:val="00271E07"/>
    <w:rsid w:val="002A3D48"/>
    <w:rsid w:val="002B290A"/>
    <w:rsid w:val="002B3E7E"/>
    <w:rsid w:val="002B705A"/>
    <w:rsid w:val="002C449D"/>
    <w:rsid w:val="002D0494"/>
    <w:rsid w:val="002E2526"/>
    <w:rsid w:val="00310459"/>
    <w:rsid w:val="00364628"/>
    <w:rsid w:val="003726DB"/>
    <w:rsid w:val="0037629C"/>
    <w:rsid w:val="0037717D"/>
    <w:rsid w:val="003A3E3D"/>
    <w:rsid w:val="003A5253"/>
    <w:rsid w:val="003B7020"/>
    <w:rsid w:val="003B755F"/>
    <w:rsid w:val="003C742E"/>
    <w:rsid w:val="003E789B"/>
    <w:rsid w:val="003F773D"/>
    <w:rsid w:val="004016D2"/>
    <w:rsid w:val="00411D15"/>
    <w:rsid w:val="00421DA7"/>
    <w:rsid w:val="00440680"/>
    <w:rsid w:val="004427F3"/>
    <w:rsid w:val="004431D1"/>
    <w:rsid w:val="0047090C"/>
    <w:rsid w:val="00490A8A"/>
    <w:rsid w:val="00491F14"/>
    <w:rsid w:val="004C6A9C"/>
    <w:rsid w:val="0050706A"/>
    <w:rsid w:val="00515559"/>
    <w:rsid w:val="00590AC6"/>
    <w:rsid w:val="005A6EA9"/>
    <w:rsid w:val="005D388C"/>
    <w:rsid w:val="005E563E"/>
    <w:rsid w:val="00602E20"/>
    <w:rsid w:val="0063548F"/>
    <w:rsid w:val="00644962"/>
    <w:rsid w:val="0064679C"/>
    <w:rsid w:val="00656309"/>
    <w:rsid w:val="006B2BD7"/>
    <w:rsid w:val="006E24EC"/>
    <w:rsid w:val="00706AFD"/>
    <w:rsid w:val="007110F9"/>
    <w:rsid w:val="007127D7"/>
    <w:rsid w:val="00723C28"/>
    <w:rsid w:val="00733CA7"/>
    <w:rsid w:val="00756641"/>
    <w:rsid w:val="007578DA"/>
    <w:rsid w:val="007626B0"/>
    <w:rsid w:val="007806CA"/>
    <w:rsid w:val="007863CE"/>
    <w:rsid w:val="00797BA2"/>
    <w:rsid w:val="007B125A"/>
    <w:rsid w:val="0082324C"/>
    <w:rsid w:val="008353C4"/>
    <w:rsid w:val="00841BC0"/>
    <w:rsid w:val="008519BE"/>
    <w:rsid w:val="0089266B"/>
    <w:rsid w:val="008D0568"/>
    <w:rsid w:val="008D1A67"/>
    <w:rsid w:val="009155C5"/>
    <w:rsid w:val="009224D2"/>
    <w:rsid w:val="009244B8"/>
    <w:rsid w:val="00924703"/>
    <w:rsid w:val="00945AD0"/>
    <w:rsid w:val="00951B5C"/>
    <w:rsid w:val="009936F9"/>
    <w:rsid w:val="009C375C"/>
    <w:rsid w:val="009D1F57"/>
    <w:rsid w:val="009E299C"/>
    <w:rsid w:val="00A133BC"/>
    <w:rsid w:val="00A1482B"/>
    <w:rsid w:val="00A34708"/>
    <w:rsid w:val="00A72E14"/>
    <w:rsid w:val="00A75F1E"/>
    <w:rsid w:val="00A95CCD"/>
    <w:rsid w:val="00A96850"/>
    <w:rsid w:val="00A96BBC"/>
    <w:rsid w:val="00AD18AF"/>
    <w:rsid w:val="00AD4A66"/>
    <w:rsid w:val="00B04C77"/>
    <w:rsid w:val="00B2012C"/>
    <w:rsid w:val="00B21673"/>
    <w:rsid w:val="00B3651A"/>
    <w:rsid w:val="00B51963"/>
    <w:rsid w:val="00B60AF2"/>
    <w:rsid w:val="00B76423"/>
    <w:rsid w:val="00B80165"/>
    <w:rsid w:val="00BD1B83"/>
    <w:rsid w:val="00BE049E"/>
    <w:rsid w:val="00C153FC"/>
    <w:rsid w:val="00C373AE"/>
    <w:rsid w:val="00C609D0"/>
    <w:rsid w:val="00CC6E60"/>
    <w:rsid w:val="00CD132C"/>
    <w:rsid w:val="00CD6D73"/>
    <w:rsid w:val="00CF476B"/>
    <w:rsid w:val="00D622C8"/>
    <w:rsid w:val="00D77EF5"/>
    <w:rsid w:val="00D81986"/>
    <w:rsid w:val="00DA7532"/>
    <w:rsid w:val="00DA7769"/>
    <w:rsid w:val="00DB7C17"/>
    <w:rsid w:val="00DE28F4"/>
    <w:rsid w:val="00DF14F6"/>
    <w:rsid w:val="00E10A1C"/>
    <w:rsid w:val="00E132E4"/>
    <w:rsid w:val="00E15014"/>
    <w:rsid w:val="00E172C4"/>
    <w:rsid w:val="00E553C2"/>
    <w:rsid w:val="00E63E83"/>
    <w:rsid w:val="00E70CA6"/>
    <w:rsid w:val="00E714D3"/>
    <w:rsid w:val="00E83470"/>
    <w:rsid w:val="00E91E02"/>
    <w:rsid w:val="00E92C50"/>
    <w:rsid w:val="00EA067C"/>
    <w:rsid w:val="00EA7689"/>
    <w:rsid w:val="00EB6E15"/>
    <w:rsid w:val="00EE5AC7"/>
    <w:rsid w:val="00F5113A"/>
    <w:rsid w:val="00F54D39"/>
    <w:rsid w:val="00F65E79"/>
    <w:rsid w:val="00F670E7"/>
    <w:rsid w:val="00F73D2E"/>
    <w:rsid w:val="00F8659C"/>
    <w:rsid w:val="00FB3CE9"/>
    <w:rsid w:val="00FC21FB"/>
    <w:rsid w:val="00FE428D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FD6F-8CCB-490C-B8EF-00B6FB02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18</cp:revision>
  <cp:lastPrinted>2021-06-23T05:31:00Z</cp:lastPrinted>
  <dcterms:created xsi:type="dcterms:W3CDTF">2020-12-18T08:15:00Z</dcterms:created>
  <dcterms:modified xsi:type="dcterms:W3CDTF">2021-06-23T05:40:00Z</dcterms:modified>
</cp:coreProperties>
</file>